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4352A8" w:rsidRDefault="004352A8"/>
    <w:tbl>
      <w:tblPr>
        <w:tblStyle w:val="GridTable1Light1"/>
        <w:tblW w:w="9920" w:type="dxa"/>
        <w:jc w:val="center"/>
        <w:shd w:val="clear" w:color="auto" w:fill="F7CAAC" w:themeFill="accent2" w:themeFillTint="66"/>
        <w:tblCellMar>
          <w:left w:w="115" w:type="dxa"/>
          <w:right w:w="115" w:type="dxa"/>
        </w:tblCellMar>
        <w:tblLook w:val="00A0" w:firstRow="1" w:lastRow="0" w:firstColumn="1" w:lastColumn="0" w:noHBand="0" w:noVBand="0"/>
      </w:tblPr>
      <w:tblGrid>
        <w:gridCol w:w="4645"/>
        <w:gridCol w:w="2593"/>
        <w:gridCol w:w="2682"/>
      </w:tblGrid>
      <w:tr w:rsidR="00C851E4" w:rsidRPr="000B2BAB" w14:paraId="6BA416DA" w14:textId="77777777" w:rsidTr="00F06A7F">
        <w:trPr>
          <w:cnfStyle w:val="100000000000" w:firstRow="1" w:lastRow="0" w:firstColumn="0" w:lastColumn="0" w:oddVBand="0" w:evenVBand="0" w:oddHBand="0" w:evenHBand="0" w:firstRowFirstColumn="0" w:firstRowLastColumn="0" w:lastRowFirstColumn="0" w:lastRowLastColumn="0"/>
          <w:trHeight w:val="431"/>
          <w:tblHeader/>
          <w:jc w:val="center"/>
        </w:trPr>
        <w:tc>
          <w:tcPr>
            <w:cnfStyle w:val="001000000000" w:firstRow="0" w:lastRow="0" w:firstColumn="1" w:lastColumn="0" w:oddVBand="0" w:evenVBand="0" w:oddHBand="0" w:evenHBand="0" w:firstRowFirstColumn="0" w:firstRowLastColumn="0" w:lastRowFirstColumn="0" w:lastRowLastColumn="0"/>
            <w:tcW w:w="4645" w:type="dxa"/>
            <w:shd w:val="clear" w:color="auto" w:fill="F7CAAC" w:themeFill="accent2" w:themeFillTint="66"/>
            <w:vAlign w:val="center"/>
          </w:tcPr>
          <w:p w14:paraId="17449707" w14:textId="2E3824C0" w:rsidR="00C851E4" w:rsidRPr="000B2BAB" w:rsidRDefault="00C851E4" w:rsidP="00EE61EC">
            <w:pPr>
              <w:rPr>
                <w:color w:val="222A35" w:themeColor="text2" w:themeShade="80"/>
                <w:sz w:val="20"/>
                <w:szCs w:val="20"/>
              </w:rPr>
            </w:pPr>
            <w:r w:rsidRPr="000B2BAB">
              <w:rPr>
                <w:color w:val="222A35" w:themeColor="text2" w:themeShade="80"/>
                <w:sz w:val="20"/>
                <w:szCs w:val="20"/>
              </w:rPr>
              <w:t>No./Title:</w:t>
            </w:r>
            <w:r w:rsidR="004510A7">
              <w:rPr>
                <w:color w:val="222A35" w:themeColor="text2" w:themeShade="80"/>
                <w:sz w:val="20"/>
                <w:szCs w:val="20"/>
              </w:rPr>
              <w:t xml:space="preserve">  </w:t>
            </w:r>
            <w:r w:rsidR="0047638F">
              <w:rPr>
                <w:color w:val="222A35" w:themeColor="text2" w:themeShade="80"/>
                <w:sz w:val="20"/>
                <w:szCs w:val="20"/>
              </w:rPr>
              <w:t>Determination of NHSR or Exempt Status</w:t>
            </w:r>
          </w:p>
        </w:tc>
        <w:tc>
          <w:tcPr>
            <w:tcW w:w="2593" w:type="dxa"/>
            <w:shd w:val="clear" w:color="auto" w:fill="F7CAAC" w:themeFill="accent2" w:themeFillTint="66"/>
            <w:vAlign w:val="center"/>
          </w:tcPr>
          <w:p w14:paraId="0231701A" w14:textId="77777777" w:rsidR="00C851E4" w:rsidRPr="000B2BAB" w:rsidRDefault="00D80DF1" w:rsidP="00EE61EC">
            <w:pPr>
              <w:tabs>
                <w:tab w:val="left" w:pos="450"/>
              </w:tabs>
              <w:cnfStyle w:val="100000000000" w:firstRow="1" w:lastRow="0" w:firstColumn="0" w:lastColumn="0" w:oddVBand="0" w:evenVBand="0" w:oddHBand="0" w:evenHBand="0" w:firstRowFirstColumn="0" w:firstRowLastColumn="0" w:lastRowFirstColumn="0" w:lastRowLastColumn="0"/>
              <w:rPr>
                <w:color w:val="222A35" w:themeColor="text2" w:themeShade="80"/>
                <w:sz w:val="20"/>
                <w:szCs w:val="20"/>
              </w:rPr>
            </w:pPr>
            <w:r>
              <w:rPr>
                <w:color w:val="222A35" w:themeColor="text2" w:themeShade="80"/>
                <w:sz w:val="20"/>
                <w:szCs w:val="20"/>
              </w:rPr>
              <w:t>Resp.</w:t>
            </w:r>
            <w:r w:rsidR="009F12F8">
              <w:rPr>
                <w:color w:val="222A35" w:themeColor="text2" w:themeShade="80"/>
                <w:sz w:val="20"/>
                <w:szCs w:val="20"/>
              </w:rPr>
              <w:t xml:space="preserve"> Office:  </w:t>
            </w:r>
            <w:r w:rsidR="00A65B3A">
              <w:rPr>
                <w:color w:val="222A35" w:themeColor="text2" w:themeShade="80"/>
                <w:sz w:val="20"/>
                <w:szCs w:val="20"/>
              </w:rPr>
              <w:t>Institutional Review Board</w:t>
            </w:r>
          </w:p>
        </w:tc>
        <w:tc>
          <w:tcPr>
            <w:tcW w:w="2682" w:type="dxa"/>
            <w:shd w:val="clear" w:color="auto" w:fill="F7CAAC" w:themeFill="accent2" w:themeFillTint="66"/>
            <w:vAlign w:val="center"/>
          </w:tcPr>
          <w:p w14:paraId="4EEDD180" w14:textId="75FC13EE" w:rsidR="00C851E4" w:rsidRPr="00A65B3A" w:rsidRDefault="00C851E4" w:rsidP="00EE61EC">
            <w:pPr>
              <w:tabs>
                <w:tab w:val="left" w:pos="450"/>
              </w:tabs>
              <w:cnfStyle w:val="100000000000" w:firstRow="1" w:lastRow="0" w:firstColumn="0" w:lastColumn="0" w:oddVBand="0" w:evenVBand="0" w:oddHBand="0" w:evenHBand="0" w:firstRowFirstColumn="0" w:firstRowLastColumn="0" w:lastRowFirstColumn="0" w:lastRowLastColumn="0"/>
              <w:rPr>
                <w:color w:val="222A35" w:themeColor="text2" w:themeShade="80"/>
                <w:sz w:val="20"/>
                <w:szCs w:val="20"/>
              </w:rPr>
            </w:pPr>
            <w:r w:rsidRPr="000B2BAB">
              <w:rPr>
                <w:color w:val="222A35" w:themeColor="text2" w:themeShade="80"/>
                <w:sz w:val="20"/>
                <w:szCs w:val="20"/>
              </w:rPr>
              <w:t>Effective Date:</w:t>
            </w:r>
            <w:r w:rsidRPr="000B2BAB">
              <w:rPr>
                <w:color w:val="222A35" w:themeColor="text2" w:themeShade="80"/>
              </w:rPr>
              <w:t xml:space="preserve">  </w:t>
            </w:r>
            <w:r w:rsidR="0047638F">
              <w:rPr>
                <w:color w:val="222A35" w:themeColor="text2" w:themeShade="80"/>
              </w:rPr>
              <w:t>10</w:t>
            </w:r>
            <w:r w:rsidR="00A65B3A">
              <w:rPr>
                <w:color w:val="222A35" w:themeColor="text2" w:themeShade="80"/>
                <w:sz w:val="20"/>
                <w:szCs w:val="20"/>
              </w:rPr>
              <w:t>/01/20</w:t>
            </w:r>
            <w:r w:rsidR="0047638F">
              <w:rPr>
                <w:color w:val="222A35" w:themeColor="text2" w:themeShade="80"/>
                <w:sz w:val="20"/>
                <w:szCs w:val="20"/>
              </w:rPr>
              <w:t>04</w:t>
            </w:r>
          </w:p>
        </w:tc>
      </w:tr>
      <w:tr w:rsidR="00C851E4" w:rsidRPr="000B2BAB" w14:paraId="5E8C398A" w14:textId="77777777" w:rsidTr="00F06A7F">
        <w:trPr>
          <w:trHeight w:val="346"/>
          <w:jc w:val="center"/>
        </w:trPr>
        <w:tc>
          <w:tcPr>
            <w:cnfStyle w:val="001000000000" w:firstRow="0" w:lastRow="0" w:firstColumn="1" w:lastColumn="0" w:oddVBand="0" w:evenVBand="0" w:oddHBand="0" w:evenHBand="0" w:firstRowFirstColumn="0" w:firstRowLastColumn="0" w:lastRowFirstColumn="0" w:lastRowLastColumn="0"/>
            <w:tcW w:w="4645" w:type="dxa"/>
            <w:shd w:val="clear" w:color="auto" w:fill="F7CAAC" w:themeFill="accent2" w:themeFillTint="66"/>
            <w:vAlign w:val="center"/>
          </w:tcPr>
          <w:p w14:paraId="098AE5E8" w14:textId="77777777" w:rsidR="00C851E4" w:rsidRPr="000B2BAB" w:rsidRDefault="00D80DF1" w:rsidP="009747EB">
            <w:pPr>
              <w:rPr>
                <w:b w:val="0"/>
                <w:color w:val="222A35" w:themeColor="text2" w:themeShade="80"/>
                <w:sz w:val="20"/>
                <w:szCs w:val="20"/>
              </w:rPr>
            </w:pPr>
            <w:r w:rsidRPr="000B2BAB">
              <w:rPr>
                <w:color w:val="222A35" w:themeColor="text2" w:themeShade="80"/>
                <w:sz w:val="20"/>
                <w:szCs w:val="20"/>
              </w:rPr>
              <w:t>Category:</w:t>
            </w:r>
            <w:r w:rsidRPr="002D41F4">
              <w:rPr>
                <w:b w:val="0"/>
                <w:color w:val="222A35" w:themeColor="text2" w:themeShade="80"/>
                <w:sz w:val="20"/>
                <w:szCs w:val="20"/>
              </w:rPr>
              <w:t xml:space="preserve">  </w:t>
            </w:r>
            <w:r>
              <w:rPr>
                <w:b w:val="0"/>
                <w:color w:val="222A35" w:themeColor="text2" w:themeShade="80"/>
                <w:sz w:val="20"/>
                <w:szCs w:val="20"/>
              </w:rPr>
              <w:t xml:space="preserve"> </w:t>
            </w:r>
            <w:r w:rsidR="00A65B3A">
              <w:rPr>
                <w:b w:val="0"/>
                <w:color w:val="222A35" w:themeColor="text2" w:themeShade="80"/>
                <w:sz w:val="20"/>
                <w:szCs w:val="20"/>
              </w:rPr>
              <w:t>Institutional Review Board (IRB)</w:t>
            </w:r>
          </w:p>
        </w:tc>
        <w:tc>
          <w:tcPr>
            <w:tcW w:w="2593" w:type="dxa"/>
            <w:shd w:val="clear" w:color="auto" w:fill="F7CAAC" w:themeFill="accent2" w:themeFillTint="66"/>
            <w:vAlign w:val="center"/>
          </w:tcPr>
          <w:p w14:paraId="6503BD4C" w14:textId="5D99B189" w:rsidR="00C851E4" w:rsidRPr="000B2BAB" w:rsidRDefault="00D80DF1" w:rsidP="009747EB">
            <w:pPr>
              <w:tabs>
                <w:tab w:val="left" w:pos="450"/>
              </w:tabs>
              <w:cnfStyle w:val="000000000000" w:firstRow="0" w:lastRow="0" w:firstColumn="0" w:lastColumn="0" w:oddVBand="0" w:evenVBand="0" w:oddHBand="0" w:evenHBand="0" w:firstRowFirstColumn="0" w:firstRowLastColumn="0" w:lastRowFirstColumn="0" w:lastRowLastColumn="0"/>
              <w:rPr>
                <w:b/>
                <w:color w:val="222A35" w:themeColor="text2" w:themeShade="80"/>
                <w:sz w:val="20"/>
                <w:szCs w:val="20"/>
              </w:rPr>
            </w:pPr>
            <w:r w:rsidRPr="000B2BAB">
              <w:rPr>
                <w:b/>
                <w:color w:val="222A35" w:themeColor="text2" w:themeShade="80"/>
                <w:sz w:val="20"/>
                <w:szCs w:val="20"/>
              </w:rPr>
              <w:t>Last Review:</w:t>
            </w:r>
            <w:r>
              <w:rPr>
                <w:b/>
                <w:color w:val="222A35" w:themeColor="text2" w:themeShade="80"/>
                <w:sz w:val="20"/>
                <w:szCs w:val="20"/>
              </w:rPr>
              <w:t xml:space="preserve">  </w:t>
            </w:r>
            <w:r w:rsidR="0047638F">
              <w:rPr>
                <w:color w:val="222A35" w:themeColor="text2" w:themeShade="80"/>
                <w:sz w:val="20"/>
                <w:szCs w:val="20"/>
              </w:rPr>
              <w:t>01/21/2019</w:t>
            </w:r>
          </w:p>
        </w:tc>
        <w:tc>
          <w:tcPr>
            <w:tcW w:w="2682" w:type="dxa"/>
            <w:shd w:val="clear" w:color="auto" w:fill="F7CAAC" w:themeFill="accent2" w:themeFillTint="66"/>
            <w:vAlign w:val="center"/>
          </w:tcPr>
          <w:p w14:paraId="4F6C731E" w14:textId="3D98E5DB" w:rsidR="00C851E4" w:rsidRPr="000B2BAB" w:rsidRDefault="00D80DF1" w:rsidP="009747EB">
            <w:pPr>
              <w:tabs>
                <w:tab w:val="left" w:pos="450"/>
              </w:tabs>
              <w:cnfStyle w:val="000000000000" w:firstRow="0" w:lastRow="0" w:firstColumn="0" w:lastColumn="0" w:oddVBand="0" w:evenVBand="0" w:oddHBand="0" w:evenHBand="0" w:firstRowFirstColumn="0" w:firstRowLastColumn="0" w:lastRowFirstColumn="0" w:lastRowLastColumn="0"/>
              <w:rPr>
                <w:color w:val="222A35" w:themeColor="text2" w:themeShade="80"/>
                <w:sz w:val="20"/>
                <w:szCs w:val="20"/>
              </w:rPr>
            </w:pPr>
            <w:r w:rsidRPr="000B2BAB">
              <w:rPr>
                <w:b/>
                <w:color w:val="222A35" w:themeColor="text2" w:themeShade="80"/>
                <w:sz w:val="20"/>
                <w:szCs w:val="20"/>
              </w:rPr>
              <w:t>Next Review:</w:t>
            </w:r>
            <w:r w:rsidRPr="002D41F4">
              <w:rPr>
                <w:b/>
                <w:color w:val="222A35" w:themeColor="text2" w:themeShade="80"/>
                <w:sz w:val="20"/>
                <w:szCs w:val="20"/>
              </w:rPr>
              <w:t xml:space="preserve"> </w:t>
            </w:r>
            <w:r w:rsidR="00A65B3A">
              <w:rPr>
                <w:b/>
                <w:color w:val="222A35" w:themeColor="text2" w:themeShade="80"/>
                <w:sz w:val="20"/>
                <w:szCs w:val="20"/>
              </w:rPr>
              <w:t xml:space="preserve"> </w:t>
            </w:r>
            <w:r w:rsidR="0047638F">
              <w:rPr>
                <w:color w:val="222A35" w:themeColor="text2" w:themeShade="80"/>
                <w:sz w:val="20"/>
                <w:szCs w:val="20"/>
              </w:rPr>
              <w:t>01/21/20</w:t>
            </w:r>
            <w:r w:rsidR="003D5BB4">
              <w:rPr>
                <w:color w:val="222A35" w:themeColor="text2" w:themeShade="80"/>
                <w:sz w:val="20"/>
                <w:szCs w:val="20"/>
              </w:rPr>
              <w:t>19</w:t>
            </w:r>
          </w:p>
        </w:tc>
      </w:tr>
      <w:tr w:rsidR="00C851E4" w:rsidRPr="000B2BAB" w14:paraId="4D9BD341" w14:textId="77777777" w:rsidTr="00F06A7F">
        <w:trPr>
          <w:trHeight w:val="346"/>
          <w:jc w:val="center"/>
        </w:trPr>
        <w:tc>
          <w:tcPr>
            <w:cnfStyle w:val="001000000000" w:firstRow="0" w:lastRow="0" w:firstColumn="1" w:lastColumn="0" w:oddVBand="0" w:evenVBand="0" w:oddHBand="0" w:evenHBand="0" w:firstRowFirstColumn="0" w:firstRowLastColumn="0" w:lastRowFirstColumn="0" w:lastRowLastColumn="0"/>
            <w:tcW w:w="4645" w:type="dxa"/>
            <w:shd w:val="clear" w:color="auto" w:fill="F7CAAC" w:themeFill="accent2" w:themeFillTint="66"/>
            <w:vAlign w:val="center"/>
          </w:tcPr>
          <w:p w14:paraId="070C3B05" w14:textId="77777777" w:rsidR="00C851E4" w:rsidRPr="00A75464" w:rsidRDefault="00A75464" w:rsidP="009747EB">
            <w:pPr>
              <w:rPr>
                <w:b w:val="0"/>
                <w:color w:val="222A35" w:themeColor="text2" w:themeShade="80"/>
                <w:sz w:val="20"/>
                <w:szCs w:val="20"/>
              </w:rPr>
            </w:pPr>
            <w:r>
              <w:rPr>
                <w:color w:val="222A35" w:themeColor="text2" w:themeShade="80"/>
                <w:sz w:val="20"/>
                <w:szCs w:val="20"/>
              </w:rPr>
              <w:t>Contact:</w:t>
            </w:r>
            <w:r w:rsidR="004510A7">
              <w:rPr>
                <w:color w:val="222A35" w:themeColor="text2" w:themeShade="80"/>
                <w:sz w:val="20"/>
                <w:szCs w:val="20"/>
              </w:rPr>
              <w:t xml:space="preserve">    </w:t>
            </w:r>
            <w:r w:rsidR="00D80DF1" w:rsidRPr="00935A6C">
              <w:rPr>
                <w:b w:val="0"/>
                <w:color w:val="222A35" w:themeColor="text2" w:themeShade="80"/>
                <w:sz w:val="20"/>
                <w:szCs w:val="20"/>
              </w:rPr>
              <w:t xml:space="preserve"> </w:t>
            </w:r>
            <w:r w:rsidR="00A65B3A">
              <w:rPr>
                <w:b w:val="0"/>
                <w:color w:val="222A35" w:themeColor="text2" w:themeShade="80"/>
                <w:sz w:val="20"/>
                <w:szCs w:val="20"/>
              </w:rPr>
              <w:t>Institutional Review Board (IRB)</w:t>
            </w:r>
          </w:p>
        </w:tc>
        <w:tc>
          <w:tcPr>
            <w:tcW w:w="2593" w:type="dxa"/>
            <w:shd w:val="clear" w:color="auto" w:fill="F7CAAC" w:themeFill="accent2" w:themeFillTint="66"/>
            <w:vAlign w:val="center"/>
          </w:tcPr>
          <w:p w14:paraId="2883445A" w14:textId="77777777" w:rsidR="00C851E4" w:rsidRPr="00A65B3A" w:rsidRDefault="004510A7" w:rsidP="009747EB">
            <w:pPr>
              <w:tabs>
                <w:tab w:val="left" w:pos="450"/>
              </w:tabs>
              <w:cnfStyle w:val="000000000000" w:firstRow="0" w:lastRow="0" w:firstColumn="0" w:lastColumn="0" w:oddVBand="0" w:evenVBand="0" w:oddHBand="0" w:evenHBand="0" w:firstRowFirstColumn="0" w:firstRowLastColumn="0" w:lastRowFirstColumn="0" w:lastRowLastColumn="0"/>
              <w:rPr>
                <w:b/>
                <w:color w:val="222A35" w:themeColor="text2" w:themeShade="80"/>
                <w:sz w:val="20"/>
                <w:szCs w:val="20"/>
              </w:rPr>
            </w:pPr>
            <w:r w:rsidRPr="00D80DF1">
              <w:rPr>
                <w:rFonts w:ascii="Wingdings" w:hAnsi="Wingdings"/>
              </w:rPr>
              <w:t></w:t>
            </w:r>
            <w:r w:rsidR="00A65B3A">
              <w:rPr>
                <w:rFonts w:ascii="Wingdings" w:hAnsi="Wingdings"/>
              </w:rPr>
              <w:t></w:t>
            </w:r>
            <w:r w:rsidR="00A65B3A">
              <w:rPr>
                <w:sz w:val="20"/>
                <w:szCs w:val="20"/>
              </w:rPr>
              <w:t>901.448.4824</w:t>
            </w:r>
          </w:p>
        </w:tc>
        <w:tc>
          <w:tcPr>
            <w:tcW w:w="2682" w:type="dxa"/>
            <w:shd w:val="clear" w:color="auto" w:fill="F7CAAC" w:themeFill="accent2" w:themeFillTint="66"/>
            <w:vAlign w:val="center"/>
          </w:tcPr>
          <w:p w14:paraId="2B532697" w14:textId="77777777" w:rsidR="00C851E4" w:rsidRPr="00D80DF1" w:rsidRDefault="00D80DF1" w:rsidP="009747EB">
            <w:pPr>
              <w:tabs>
                <w:tab w:val="left" w:pos="450"/>
              </w:tabs>
              <w:cnfStyle w:val="000000000000" w:firstRow="0" w:lastRow="0" w:firstColumn="0" w:lastColumn="0" w:oddVBand="0" w:evenVBand="0" w:oddHBand="0" w:evenHBand="0" w:firstRowFirstColumn="0" w:firstRowLastColumn="0" w:lastRowFirstColumn="0" w:lastRowLastColumn="0"/>
              <w:rPr>
                <w:b/>
                <w:color w:val="222A35" w:themeColor="text2" w:themeShade="80"/>
                <w:sz w:val="20"/>
                <w:szCs w:val="20"/>
              </w:rPr>
            </w:pPr>
            <w:r w:rsidRPr="00D80DF1">
              <w:rPr>
                <w:rFonts w:ascii="Wingdings" w:hAnsi="Wingdings"/>
              </w:rPr>
              <w:t></w:t>
            </w:r>
            <w:r>
              <w:rPr>
                <w:sz w:val="20"/>
                <w:szCs w:val="20"/>
              </w:rPr>
              <w:t xml:space="preserve"> </w:t>
            </w:r>
            <w:r w:rsidR="00A65B3A">
              <w:rPr>
                <w:sz w:val="20"/>
                <w:szCs w:val="20"/>
              </w:rPr>
              <w:t>irb@uthsc.edu</w:t>
            </w:r>
          </w:p>
        </w:tc>
      </w:tr>
    </w:tbl>
    <w:p w14:paraId="0A37501D" w14:textId="77777777" w:rsidR="00EE61EC" w:rsidRDefault="00EE61EC" w:rsidP="00944556">
      <w:pPr>
        <w:tabs>
          <w:tab w:val="left" w:pos="450"/>
        </w:tabs>
        <w:spacing w:after="0" w:line="240" w:lineRule="auto"/>
        <w:jc w:val="both"/>
        <w:rPr>
          <w:b/>
          <w:sz w:val="28"/>
          <w:szCs w:val="28"/>
        </w:rPr>
      </w:pPr>
    </w:p>
    <w:p w14:paraId="6B936807" w14:textId="77777777" w:rsidR="00CB5743" w:rsidRDefault="008822CF" w:rsidP="00126D79">
      <w:pPr>
        <w:spacing w:after="0" w:line="240" w:lineRule="auto"/>
        <w:ind w:left="720" w:hanging="720"/>
        <w:jc w:val="both"/>
      </w:pPr>
      <w:r>
        <w:rPr>
          <w:b/>
          <w:color w:val="1F4E79" w:themeColor="accent1" w:themeShade="80"/>
          <w:sz w:val="28"/>
          <w:szCs w:val="28"/>
        </w:rPr>
        <w:t>I.</w:t>
      </w:r>
      <w:r>
        <w:rPr>
          <w:b/>
          <w:color w:val="1F4E79" w:themeColor="accent1" w:themeShade="80"/>
          <w:sz w:val="28"/>
          <w:szCs w:val="28"/>
        </w:rPr>
        <w:tab/>
      </w:r>
      <w:r w:rsidR="009747EB" w:rsidRPr="00CB5743">
        <w:rPr>
          <w:b/>
          <w:color w:val="1F4E79" w:themeColor="accent1" w:themeShade="80"/>
          <w:sz w:val="28"/>
          <w:szCs w:val="28"/>
        </w:rPr>
        <w:t>P</w:t>
      </w:r>
      <w:r>
        <w:rPr>
          <w:b/>
          <w:color w:val="1F4E79" w:themeColor="accent1" w:themeShade="80"/>
          <w:sz w:val="28"/>
          <w:szCs w:val="28"/>
        </w:rPr>
        <w:t>U</w:t>
      </w:r>
      <w:r w:rsidR="009747EB" w:rsidRPr="00CB5743">
        <w:rPr>
          <w:b/>
          <w:color w:val="1F4E79" w:themeColor="accent1" w:themeShade="80"/>
          <w:sz w:val="28"/>
          <w:szCs w:val="28"/>
        </w:rPr>
        <w:t>R</w:t>
      </w:r>
      <w:r>
        <w:rPr>
          <w:b/>
          <w:color w:val="1F4E79" w:themeColor="accent1" w:themeShade="80"/>
          <w:sz w:val="28"/>
          <w:szCs w:val="28"/>
        </w:rPr>
        <w:t>POSE</w:t>
      </w:r>
    </w:p>
    <w:p w14:paraId="5DAB6C7B" w14:textId="77777777" w:rsidR="008822CF" w:rsidRPr="008822CF" w:rsidRDefault="008822CF" w:rsidP="008822CF">
      <w:pPr>
        <w:tabs>
          <w:tab w:val="left" w:pos="450"/>
        </w:tabs>
        <w:spacing w:after="0" w:line="240" w:lineRule="auto"/>
        <w:jc w:val="both"/>
      </w:pPr>
    </w:p>
    <w:p w14:paraId="64F9A0D3" w14:textId="1BBB1DCD" w:rsidR="008822CF" w:rsidRDefault="0047638F" w:rsidP="00086D73">
      <w:pPr>
        <w:jc w:val="both"/>
        <w:rPr>
          <w:sz w:val="24"/>
        </w:rPr>
      </w:pPr>
      <w:r>
        <w:rPr>
          <w:sz w:val="24"/>
        </w:rPr>
        <w:t xml:space="preserve">To document the procedures used by University of Tennessee Health Science Center Institutional Review Board to review and evaluate submissions </w:t>
      </w:r>
      <w:r w:rsidRPr="00EA3DCF">
        <w:rPr>
          <w:sz w:val="24"/>
          <w:szCs w:val="24"/>
        </w:rPr>
        <w:t xml:space="preserve">for NHSR or </w:t>
      </w:r>
      <w:r>
        <w:rPr>
          <w:sz w:val="24"/>
        </w:rPr>
        <w:t>exempt status.</w:t>
      </w:r>
    </w:p>
    <w:p w14:paraId="64FB20B7" w14:textId="77777777" w:rsidR="00126D79" w:rsidRPr="0086694D" w:rsidRDefault="00126D79" w:rsidP="00086D73">
      <w:pPr>
        <w:ind w:left="720" w:hanging="720"/>
        <w:jc w:val="both"/>
      </w:pPr>
      <w:r>
        <w:rPr>
          <w:b/>
          <w:color w:val="1F4E79" w:themeColor="accent1" w:themeShade="80"/>
          <w:sz w:val="28"/>
          <w:szCs w:val="28"/>
        </w:rPr>
        <w:t>II.</w:t>
      </w:r>
      <w:r>
        <w:rPr>
          <w:b/>
          <w:color w:val="1F4E79" w:themeColor="accent1" w:themeShade="80"/>
          <w:sz w:val="28"/>
          <w:szCs w:val="28"/>
        </w:rPr>
        <w:tab/>
        <w:t>SCOPE</w:t>
      </w:r>
    </w:p>
    <w:p w14:paraId="3B68FC2B" w14:textId="7F4A90DB" w:rsidR="00126D79" w:rsidRPr="0047638F" w:rsidRDefault="0047638F" w:rsidP="00086D73">
      <w:pPr>
        <w:pStyle w:val="BodyTextIndent2"/>
        <w:ind w:left="0"/>
        <w:jc w:val="both"/>
        <w:rPr>
          <w:rFonts w:asciiTheme="minorHAnsi" w:hAnsiTheme="minorHAnsi" w:cstheme="minorHAnsi"/>
          <w:sz w:val="24"/>
          <w:szCs w:val="24"/>
        </w:rPr>
      </w:pPr>
      <w:r w:rsidRPr="0047638F">
        <w:rPr>
          <w:rFonts w:asciiTheme="minorHAnsi" w:hAnsiTheme="minorHAnsi" w:cstheme="minorHAnsi"/>
          <w:sz w:val="24"/>
        </w:rPr>
        <w:t>This SOP applies to the IRB administrative staff, Board members, and investigators.</w:t>
      </w:r>
    </w:p>
    <w:p w14:paraId="02EB378F" w14:textId="77777777" w:rsidR="00126D79" w:rsidRPr="00126D79" w:rsidRDefault="00126D79" w:rsidP="00086D73">
      <w:pPr>
        <w:pStyle w:val="BodyTextIndent2"/>
        <w:ind w:left="0"/>
        <w:jc w:val="both"/>
        <w:rPr>
          <w:rFonts w:asciiTheme="minorHAnsi" w:hAnsiTheme="minorHAnsi"/>
          <w:sz w:val="24"/>
          <w:szCs w:val="24"/>
        </w:rPr>
      </w:pPr>
    </w:p>
    <w:p w14:paraId="0D6438E1" w14:textId="77777777" w:rsidR="00126D79" w:rsidRPr="00126D79" w:rsidRDefault="00126D79" w:rsidP="00086D73">
      <w:pPr>
        <w:jc w:val="both"/>
        <w:rPr>
          <w:sz w:val="24"/>
          <w:szCs w:val="24"/>
        </w:rPr>
      </w:pPr>
      <w:r w:rsidRPr="00126D79">
        <w:rPr>
          <w:b/>
          <w:sz w:val="24"/>
          <w:szCs w:val="24"/>
        </w:rPr>
        <w:t>Personnel responsible</w:t>
      </w:r>
      <w:r w:rsidRPr="00126D79">
        <w:rPr>
          <w:sz w:val="24"/>
          <w:szCs w:val="24"/>
        </w:rPr>
        <w:t>:</w:t>
      </w:r>
    </w:p>
    <w:p w14:paraId="5D597E77" w14:textId="7624CB66" w:rsidR="00126D79" w:rsidRPr="00EE66B8" w:rsidRDefault="00EE66B8" w:rsidP="00086D73">
      <w:pPr>
        <w:tabs>
          <w:tab w:val="left" w:pos="450"/>
        </w:tabs>
        <w:spacing w:after="0" w:line="240" w:lineRule="auto"/>
        <w:jc w:val="both"/>
        <w:rPr>
          <w:rFonts w:cstheme="minorHAnsi"/>
          <w:color w:val="444444"/>
          <w:sz w:val="24"/>
          <w:szCs w:val="24"/>
        </w:rPr>
      </w:pPr>
      <w:r w:rsidRPr="00EE66B8">
        <w:rPr>
          <w:rFonts w:cstheme="minorHAnsi"/>
          <w:sz w:val="24"/>
          <w:szCs w:val="24"/>
        </w:rPr>
        <w:t>IRB administrative staff, IRB members, and investigators.</w:t>
      </w:r>
    </w:p>
    <w:p w14:paraId="6A05A809" w14:textId="77777777" w:rsidR="00126D79" w:rsidRDefault="00126D79" w:rsidP="00086D73">
      <w:pPr>
        <w:tabs>
          <w:tab w:val="left" w:pos="450"/>
        </w:tabs>
        <w:spacing w:after="0" w:line="240" w:lineRule="auto"/>
        <w:jc w:val="both"/>
        <w:rPr>
          <w:rFonts w:cs="Arial"/>
          <w:color w:val="444444"/>
          <w:sz w:val="24"/>
          <w:szCs w:val="24"/>
        </w:rPr>
      </w:pPr>
    </w:p>
    <w:p w14:paraId="1C45980E" w14:textId="77777777" w:rsidR="00126D79" w:rsidRDefault="00126D79" w:rsidP="00086D73">
      <w:pPr>
        <w:tabs>
          <w:tab w:val="left" w:pos="450"/>
        </w:tabs>
        <w:spacing w:after="0" w:line="240" w:lineRule="auto"/>
        <w:jc w:val="both"/>
        <w:rPr>
          <w:rFonts w:cs="Arial"/>
          <w:color w:val="444444"/>
          <w:sz w:val="24"/>
          <w:szCs w:val="24"/>
        </w:rPr>
      </w:pPr>
      <w:r>
        <w:rPr>
          <w:b/>
          <w:color w:val="1F4E79" w:themeColor="accent1" w:themeShade="80"/>
          <w:sz w:val="28"/>
          <w:szCs w:val="28"/>
        </w:rPr>
        <w:t>I</w:t>
      </w:r>
      <w:r w:rsidR="001149F1">
        <w:rPr>
          <w:b/>
          <w:color w:val="1F4E79" w:themeColor="accent1" w:themeShade="80"/>
          <w:sz w:val="28"/>
          <w:szCs w:val="28"/>
        </w:rPr>
        <w:t>I</w:t>
      </w:r>
      <w:r>
        <w:rPr>
          <w:b/>
          <w:color w:val="1F4E79" w:themeColor="accent1" w:themeShade="80"/>
          <w:sz w:val="28"/>
          <w:szCs w:val="28"/>
        </w:rPr>
        <w:t>I.</w:t>
      </w:r>
      <w:r>
        <w:rPr>
          <w:b/>
          <w:color w:val="1F4E79" w:themeColor="accent1" w:themeShade="80"/>
          <w:sz w:val="28"/>
          <w:szCs w:val="28"/>
        </w:rPr>
        <w:tab/>
        <w:t>BACKGROUND</w:t>
      </w:r>
    </w:p>
    <w:p w14:paraId="5A39BBE3" w14:textId="77777777" w:rsidR="00126D79" w:rsidRPr="00126D79" w:rsidRDefault="00126D79" w:rsidP="00086D73">
      <w:pPr>
        <w:tabs>
          <w:tab w:val="left" w:pos="450"/>
        </w:tabs>
        <w:spacing w:after="0" w:line="240" w:lineRule="auto"/>
        <w:jc w:val="both"/>
        <w:rPr>
          <w:rFonts w:cs="Arial"/>
          <w:color w:val="444444"/>
          <w:sz w:val="24"/>
          <w:szCs w:val="24"/>
        </w:rPr>
      </w:pPr>
    </w:p>
    <w:p w14:paraId="613D7CC6" w14:textId="77777777" w:rsidR="0047638F" w:rsidRPr="0047638F" w:rsidRDefault="0047638F" w:rsidP="0047638F">
      <w:pPr>
        <w:pStyle w:val="Header"/>
        <w:rPr>
          <w:rFonts w:cstheme="minorHAnsi"/>
          <w:sz w:val="24"/>
          <w:szCs w:val="24"/>
        </w:rPr>
      </w:pPr>
      <w:r w:rsidRPr="0047638F">
        <w:rPr>
          <w:rFonts w:cstheme="minorHAnsi"/>
          <w:sz w:val="24"/>
          <w:szCs w:val="24"/>
        </w:rPr>
        <w:t>The IRB has oversight authority for all research with human subjects conducted by UTHSC faculty, staff, students, residents, or fellows.  In addition, through a cooperative agreement/IRB Authorization Agreement, the IRB has oversight authority for human subjects research conducted at UTHSC-affiliated institutions (Methodist Healthcare, Le Bonheur Children’s Hospital, &amp; Regional One Health) by their employees and agents.  Key terms such as “research,” “human subject,” and “clinical investigation” are assigned technical definitions within HHS, FDA and other federal regulations pertaining to protection for the rights and welfare of persons participating in research.  The applicability of these regulations for protecting human subjects and the purview of the UTHSC IRB in overseeing their implementation are set by the range of activities to which these definitions apply.  Individuals whose activities are covered by the definitions are considered engaged in research that is subject to those regulations and the oversight of the UTHSC IRB.</w:t>
      </w:r>
    </w:p>
    <w:p w14:paraId="0EE89764" w14:textId="77777777" w:rsidR="0047638F" w:rsidRPr="0047638F" w:rsidRDefault="0047638F" w:rsidP="0047638F">
      <w:pPr>
        <w:pStyle w:val="Header"/>
        <w:rPr>
          <w:rFonts w:cstheme="minorHAnsi"/>
          <w:sz w:val="24"/>
          <w:szCs w:val="24"/>
        </w:rPr>
      </w:pPr>
    </w:p>
    <w:p w14:paraId="0C049A8B" w14:textId="77777777" w:rsidR="0047638F" w:rsidRPr="0047638F" w:rsidRDefault="0047638F" w:rsidP="0047638F">
      <w:pPr>
        <w:pStyle w:val="Header"/>
        <w:rPr>
          <w:rFonts w:cstheme="minorHAnsi"/>
          <w:sz w:val="24"/>
          <w:szCs w:val="24"/>
        </w:rPr>
      </w:pPr>
      <w:r w:rsidRPr="0047638F">
        <w:rPr>
          <w:rFonts w:cstheme="minorHAnsi"/>
          <w:sz w:val="24"/>
          <w:szCs w:val="24"/>
        </w:rPr>
        <w:t xml:space="preserve">Certain kinds of investigative activities are not human subjects research (NHSR) as defined in the federal regulations for the protection of human subjects, while other minimal risk activities qualify for exemption from IRB oversight.  OHRP policy guidance recommends that the determination that a study qualifies for exempt status be made by someone other than the investigator.  This person must be familiar with the exemption categories and their interpretation, as well as the definitions that circumscribe the range of activities that constitute research involving human subjects under the regulations.  Under UTHSC IRB policy, determination of whether a study qualifies for NHSR or exempt status must be made by a Chair or other senior member of the IRB.    </w:t>
      </w:r>
    </w:p>
    <w:p w14:paraId="27A9775A" w14:textId="77777777" w:rsidR="0047638F" w:rsidRPr="0047638F" w:rsidRDefault="0047638F" w:rsidP="0047638F">
      <w:pPr>
        <w:pStyle w:val="Header"/>
        <w:ind w:firstLine="720"/>
        <w:rPr>
          <w:rFonts w:cstheme="minorHAnsi"/>
          <w:sz w:val="24"/>
          <w:szCs w:val="24"/>
        </w:rPr>
      </w:pPr>
    </w:p>
    <w:p w14:paraId="2B547BA8" w14:textId="4C86FC1A" w:rsidR="0047638F" w:rsidRPr="0047638F" w:rsidRDefault="0047638F" w:rsidP="0047638F">
      <w:pPr>
        <w:pStyle w:val="Header"/>
        <w:rPr>
          <w:rFonts w:cstheme="minorHAnsi"/>
          <w:sz w:val="24"/>
          <w:szCs w:val="24"/>
        </w:rPr>
      </w:pPr>
      <w:r w:rsidRPr="0047638F">
        <w:rPr>
          <w:rFonts w:cstheme="minorHAnsi"/>
          <w:sz w:val="24"/>
          <w:szCs w:val="24"/>
        </w:rPr>
        <w:t xml:space="preserve">This determination is made through submission and review of the </w:t>
      </w:r>
      <w:r w:rsidR="005C6A4C" w:rsidRPr="005C6A4C">
        <w:rPr>
          <w:rFonts w:cstheme="minorHAnsi"/>
          <w:i/>
          <w:iCs/>
          <w:sz w:val="24"/>
          <w:szCs w:val="24"/>
        </w:rPr>
        <w:t xml:space="preserve">UTHSC IRB </w:t>
      </w:r>
      <w:r w:rsidRPr="005C6A4C">
        <w:rPr>
          <w:rFonts w:cstheme="minorHAnsi"/>
          <w:i/>
          <w:iCs/>
          <w:sz w:val="24"/>
          <w:szCs w:val="24"/>
        </w:rPr>
        <w:t>Form 1</w:t>
      </w:r>
      <w:r w:rsidR="005C6A4C" w:rsidRPr="005C6A4C">
        <w:rPr>
          <w:rFonts w:cstheme="minorHAnsi"/>
          <w:i/>
          <w:iCs/>
          <w:sz w:val="24"/>
          <w:szCs w:val="24"/>
        </w:rPr>
        <w:t>: Study/Project</w:t>
      </w:r>
      <w:r w:rsidRPr="005C6A4C">
        <w:rPr>
          <w:rFonts w:cstheme="minorHAnsi"/>
          <w:i/>
          <w:iCs/>
          <w:sz w:val="24"/>
          <w:szCs w:val="24"/>
        </w:rPr>
        <w:t xml:space="preserve"> Application</w:t>
      </w:r>
      <w:r w:rsidRPr="0047638F">
        <w:rPr>
          <w:rFonts w:cstheme="minorHAnsi"/>
          <w:sz w:val="24"/>
          <w:szCs w:val="24"/>
        </w:rPr>
        <w:t xml:space="preserve"> via iMedRIS, the IRB electronic system.  Once a study has been determined to qualify for NHSR or exempt status, no further oversight of the IRB is normally necessary.  However, if revisions are made to a study originally approved for NHSR or exempt status, the IRB must determine that the study remains eligible for NHSR or exempt status.  Further, once the project has been completed, a </w:t>
      </w:r>
      <w:r w:rsidRPr="005C6A4C">
        <w:rPr>
          <w:rFonts w:cstheme="minorHAnsi"/>
          <w:i/>
          <w:iCs/>
          <w:sz w:val="24"/>
          <w:szCs w:val="24"/>
        </w:rPr>
        <w:t>Form 7: Study Closure</w:t>
      </w:r>
      <w:r w:rsidRPr="0047638F">
        <w:rPr>
          <w:rFonts w:cstheme="minorHAnsi"/>
          <w:sz w:val="24"/>
          <w:szCs w:val="24"/>
        </w:rPr>
        <w:t xml:space="preserve"> must be submitted for IRB review.</w:t>
      </w:r>
    </w:p>
    <w:p w14:paraId="6318AC34" w14:textId="77777777" w:rsidR="0047638F" w:rsidRPr="0047638F" w:rsidRDefault="0047638F" w:rsidP="0047638F">
      <w:pPr>
        <w:pStyle w:val="Header"/>
        <w:rPr>
          <w:rFonts w:cstheme="minorHAnsi"/>
          <w:b/>
          <w:sz w:val="24"/>
          <w:szCs w:val="24"/>
        </w:rPr>
      </w:pPr>
    </w:p>
    <w:p w14:paraId="44932E5E" w14:textId="77777777" w:rsidR="0047638F" w:rsidRPr="0047638F" w:rsidRDefault="0047638F" w:rsidP="0047638F">
      <w:pPr>
        <w:pStyle w:val="Header"/>
        <w:rPr>
          <w:rFonts w:cstheme="minorHAnsi"/>
          <w:b/>
          <w:sz w:val="24"/>
          <w:szCs w:val="24"/>
        </w:rPr>
      </w:pPr>
      <w:r w:rsidRPr="0047638F">
        <w:rPr>
          <w:rFonts w:cstheme="minorHAnsi"/>
          <w:b/>
          <w:sz w:val="24"/>
          <w:szCs w:val="24"/>
        </w:rPr>
        <w:t>In Accordance With:</w:t>
      </w:r>
    </w:p>
    <w:p w14:paraId="5D66A011" w14:textId="77777777" w:rsidR="0047638F" w:rsidRPr="0047638F" w:rsidRDefault="0047638F" w:rsidP="0047638F">
      <w:pPr>
        <w:pStyle w:val="Header"/>
        <w:rPr>
          <w:rFonts w:cstheme="minorHAnsi"/>
          <w:b/>
          <w:sz w:val="24"/>
          <w:szCs w:val="24"/>
        </w:rPr>
      </w:pPr>
    </w:p>
    <w:p w14:paraId="451796CC" w14:textId="77777777" w:rsidR="0047638F" w:rsidRPr="0047638F" w:rsidRDefault="0047638F" w:rsidP="0047638F">
      <w:pPr>
        <w:pStyle w:val="Header"/>
        <w:rPr>
          <w:rFonts w:cstheme="minorHAnsi"/>
          <w:sz w:val="24"/>
          <w:szCs w:val="24"/>
        </w:rPr>
      </w:pPr>
      <w:r w:rsidRPr="0047638F">
        <w:rPr>
          <w:rFonts w:cstheme="minorHAnsi"/>
          <w:b/>
          <w:sz w:val="24"/>
          <w:szCs w:val="24"/>
        </w:rPr>
        <w:t>For studies approved under the revised Common Rule:</w:t>
      </w:r>
    </w:p>
    <w:p w14:paraId="3500FC28" w14:textId="77777777" w:rsidR="0047638F" w:rsidRPr="0047638F" w:rsidRDefault="0047638F" w:rsidP="0047638F">
      <w:pPr>
        <w:pStyle w:val="Heading3"/>
        <w:tabs>
          <w:tab w:val="right" w:pos="9360"/>
        </w:tabs>
        <w:spacing w:before="0" w:line="240" w:lineRule="auto"/>
        <w:rPr>
          <w:rFonts w:asciiTheme="minorHAnsi" w:hAnsiTheme="minorHAnsi" w:cstheme="minorHAnsi"/>
          <w:b/>
        </w:rPr>
      </w:pPr>
      <w:r w:rsidRPr="0047638F">
        <w:rPr>
          <w:rFonts w:asciiTheme="minorHAnsi" w:hAnsiTheme="minorHAnsi" w:cstheme="minorHAnsi"/>
        </w:rPr>
        <w:t>45 CFR 46.101(a), 102(e) &amp; (l), and 104.</w:t>
      </w:r>
    </w:p>
    <w:p w14:paraId="01D66187" w14:textId="77777777" w:rsidR="0047638F" w:rsidRPr="0047638F" w:rsidRDefault="0047638F" w:rsidP="0047638F">
      <w:pPr>
        <w:tabs>
          <w:tab w:val="right" w:pos="9360"/>
        </w:tabs>
        <w:spacing w:after="0" w:line="240" w:lineRule="auto"/>
        <w:rPr>
          <w:rFonts w:cstheme="minorHAnsi"/>
          <w:sz w:val="24"/>
          <w:szCs w:val="24"/>
        </w:rPr>
      </w:pPr>
    </w:p>
    <w:p w14:paraId="1868271A" w14:textId="77777777" w:rsidR="0047638F" w:rsidRPr="0047638F" w:rsidRDefault="0047638F" w:rsidP="0047638F">
      <w:pPr>
        <w:keepNext/>
        <w:tabs>
          <w:tab w:val="right" w:pos="9360"/>
        </w:tabs>
        <w:spacing w:after="0" w:line="240" w:lineRule="auto"/>
        <w:outlineLvl w:val="2"/>
        <w:rPr>
          <w:rFonts w:eastAsia="Times New Roman" w:cstheme="minorHAnsi"/>
          <w:b/>
          <w:sz w:val="24"/>
          <w:szCs w:val="24"/>
        </w:rPr>
      </w:pPr>
      <w:r w:rsidRPr="0047638F">
        <w:rPr>
          <w:rFonts w:eastAsia="Times New Roman" w:cstheme="minorHAnsi"/>
          <w:b/>
          <w:sz w:val="24"/>
          <w:szCs w:val="24"/>
        </w:rPr>
        <w:t>For studies approved under the Pre-2018 Common Rule:</w:t>
      </w:r>
    </w:p>
    <w:p w14:paraId="6EB0C69E" w14:textId="77777777" w:rsidR="0047638F" w:rsidRPr="0047638F" w:rsidRDefault="004E065E" w:rsidP="0047638F">
      <w:pPr>
        <w:pStyle w:val="Heading3"/>
        <w:tabs>
          <w:tab w:val="right" w:pos="9360"/>
        </w:tabs>
        <w:spacing w:before="0" w:line="240" w:lineRule="auto"/>
        <w:rPr>
          <w:rFonts w:asciiTheme="minorHAnsi" w:hAnsiTheme="minorHAnsi" w:cstheme="minorHAnsi"/>
        </w:rPr>
      </w:pPr>
      <w:hyperlink r:id="rId8" w:history="1">
        <w:r w:rsidR="0047638F" w:rsidRPr="0047638F">
          <w:rPr>
            <w:rStyle w:val="Hyperlink"/>
            <w:rFonts w:asciiTheme="minorHAnsi" w:hAnsiTheme="minorHAnsi" w:cstheme="minorHAnsi"/>
          </w:rPr>
          <w:t>45 CFR 46.101(b) and 102(d) &amp; (f)</w:t>
        </w:r>
      </w:hyperlink>
      <w:r w:rsidR="0047638F" w:rsidRPr="0047638F">
        <w:rPr>
          <w:rFonts w:asciiTheme="minorHAnsi" w:hAnsiTheme="minorHAnsi" w:cstheme="minorHAnsi"/>
        </w:rPr>
        <w:t>; and</w:t>
      </w:r>
    </w:p>
    <w:p w14:paraId="0EC098C2" w14:textId="77777777" w:rsidR="0047638F" w:rsidRPr="0047638F" w:rsidRDefault="0047638F" w:rsidP="0047638F">
      <w:pPr>
        <w:tabs>
          <w:tab w:val="right" w:pos="9360"/>
        </w:tabs>
        <w:spacing w:after="0" w:line="240" w:lineRule="auto"/>
        <w:rPr>
          <w:rFonts w:cstheme="minorHAnsi"/>
          <w:sz w:val="24"/>
          <w:szCs w:val="24"/>
        </w:rPr>
      </w:pPr>
    </w:p>
    <w:p w14:paraId="0DB0F99C" w14:textId="77777777" w:rsidR="0047638F" w:rsidRPr="0047638F" w:rsidRDefault="0047638F" w:rsidP="0047638F">
      <w:pPr>
        <w:tabs>
          <w:tab w:val="right" w:pos="9360"/>
        </w:tabs>
        <w:spacing w:after="0" w:line="240" w:lineRule="auto"/>
        <w:rPr>
          <w:rFonts w:cstheme="minorHAnsi"/>
          <w:b/>
          <w:sz w:val="24"/>
          <w:szCs w:val="24"/>
        </w:rPr>
      </w:pPr>
      <w:r w:rsidRPr="0047638F">
        <w:rPr>
          <w:rFonts w:cstheme="minorHAnsi"/>
          <w:b/>
          <w:sz w:val="24"/>
          <w:szCs w:val="24"/>
        </w:rPr>
        <w:t>For FDA-regulated studies:</w:t>
      </w:r>
    </w:p>
    <w:p w14:paraId="596492D0" w14:textId="77777777" w:rsidR="0047638F" w:rsidRPr="0047638F" w:rsidRDefault="0047638F" w:rsidP="0047638F">
      <w:pPr>
        <w:tabs>
          <w:tab w:val="right" w:pos="9360"/>
        </w:tabs>
        <w:spacing w:after="0" w:line="240" w:lineRule="auto"/>
        <w:rPr>
          <w:rFonts w:cstheme="minorHAnsi"/>
          <w:sz w:val="24"/>
          <w:szCs w:val="24"/>
        </w:rPr>
      </w:pPr>
      <w:r w:rsidRPr="0047638F">
        <w:rPr>
          <w:rFonts w:cstheme="minorHAnsi"/>
          <w:sz w:val="24"/>
          <w:szCs w:val="24"/>
        </w:rPr>
        <w:t>21 CFR 50.1; 21 CFR 50.3(c), (g), &amp; (j); 21 CFR 56.101(a); 21 CFR 56.102(c), (e), &amp; (l); and 21 CFR 56.104(d)</w:t>
      </w:r>
    </w:p>
    <w:p w14:paraId="026117CC" w14:textId="77777777" w:rsidR="0047638F" w:rsidRPr="0047638F" w:rsidRDefault="0047638F" w:rsidP="0047638F">
      <w:pPr>
        <w:tabs>
          <w:tab w:val="right" w:pos="9360"/>
        </w:tabs>
        <w:spacing w:after="0" w:line="240" w:lineRule="auto"/>
        <w:rPr>
          <w:rFonts w:cstheme="minorHAnsi"/>
          <w:sz w:val="24"/>
          <w:szCs w:val="24"/>
        </w:rPr>
      </w:pPr>
    </w:p>
    <w:p w14:paraId="61DAA59B" w14:textId="77777777" w:rsidR="0047638F" w:rsidRPr="0047638F" w:rsidRDefault="0047638F" w:rsidP="0047638F">
      <w:pPr>
        <w:tabs>
          <w:tab w:val="right" w:pos="9360"/>
        </w:tabs>
        <w:spacing w:after="0" w:line="240" w:lineRule="auto"/>
        <w:rPr>
          <w:rFonts w:cstheme="minorHAnsi"/>
          <w:sz w:val="24"/>
          <w:szCs w:val="24"/>
        </w:rPr>
      </w:pPr>
      <w:r w:rsidRPr="0047638F">
        <w:rPr>
          <w:rFonts w:cstheme="minorHAnsi"/>
          <w:sz w:val="24"/>
          <w:szCs w:val="24"/>
        </w:rPr>
        <w:t>Exempt Research Determination FAQs</w:t>
      </w:r>
    </w:p>
    <w:p w14:paraId="1C100381" w14:textId="77777777" w:rsidR="0047638F" w:rsidRPr="0047638F" w:rsidRDefault="004E065E" w:rsidP="0047638F">
      <w:pPr>
        <w:tabs>
          <w:tab w:val="right" w:pos="9360"/>
        </w:tabs>
        <w:spacing w:after="0" w:line="240" w:lineRule="auto"/>
        <w:rPr>
          <w:rStyle w:val="Hyperlink"/>
          <w:rFonts w:eastAsia="Times New Roman" w:cstheme="minorHAnsi"/>
          <w:sz w:val="24"/>
          <w:szCs w:val="24"/>
        </w:rPr>
      </w:pPr>
      <w:hyperlink r:id="rId9" w:history="1">
        <w:r w:rsidR="0047638F" w:rsidRPr="0047638F">
          <w:rPr>
            <w:rStyle w:val="Hyperlink"/>
            <w:rFonts w:eastAsia="Times New Roman" w:cstheme="minorHAnsi"/>
            <w:sz w:val="24"/>
            <w:szCs w:val="24"/>
          </w:rPr>
          <w:t>http://www.hhs.gov/ohrp/regulations-and-policyvcfxa/guidance/faq/exempt-research-determination/</w:t>
        </w:r>
      </w:hyperlink>
    </w:p>
    <w:p w14:paraId="50F50469" w14:textId="77777777" w:rsidR="0047638F" w:rsidRPr="0047638F" w:rsidRDefault="0047638F" w:rsidP="0047638F">
      <w:pPr>
        <w:tabs>
          <w:tab w:val="right" w:pos="9360"/>
        </w:tabs>
        <w:spacing w:after="0" w:line="240" w:lineRule="auto"/>
        <w:rPr>
          <w:rFonts w:cstheme="minorHAnsi"/>
          <w:sz w:val="24"/>
          <w:szCs w:val="24"/>
        </w:rPr>
      </w:pPr>
    </w:p>
    <w:p w14:paraId="62B71D50" w14:textId="77777777" w:rsidR="0047638F" w:rsidRPr="0047638F" w:rsidRDefault="0047638F" w:rsidP="0047638F">
      <w:pPr>
        <w:pStyle w:val="Header"/>
        <w:rPr>
          <w:rFonts w:cstheme="minorHAnsi"/>
          <w:sz w:val="24"/>
          <w:szCs w:val="24"/>
        </w:rPr>
      </w:pPr>
      <w:r w:rsidRPr="0047638F">
        <w:rPr>
          <w:rFonts w:cstheme="minorHAnsi"/>
          <w:sz w:val="24"/>
          <w:szCs w:val="24"/>
        </w:rPr>
        <w:t>OHRP – Guidance on Research Involving Coded Private Information or Biological Specimens</w:t>
      </w:r>
    </w:p>
    <w:p w14:paraId="25EC78DB" w14:textId="77777777" w:rsidR="0047638F" w:rsidRPr="0047638F" w:rsidRDefault="004E065E" w:rsidP="0047638F">
      <w:pPr>
        <w:tabs>
          <w:tab w:val="right" w:pos="9360"/>
        </w:tabs>
        <w:spacing w:after="0" w:line="240" w:lineRule="auto"/>
        <w:rPr>
          <w:rStyle w:val="Hyperlink"/>
          <w:rFonts w:cstheme="minorHAnsi"/>
          <w:sz w:val="24"/>
          <w:szCs w:val="24"/>
        </w:rPr>
      </w:pPr>
      <w:hyperlink r:id="rId10" w:history="1">
        <w:r w:rsidR="0047638F" w:rsidRPr="0047638F">
          <w:rPr>
            <w:rStyle w:val="Hyperlink"/>
            <w:rFonts w:cstheme="minorHAnsi"/>
            <w:sz w:val="24"/>
            <w:szCs w:val="24"/>
          </w:rPr>
          <w:t>http://www.hhs.gov/ohrp/policy/cdebiol.html</w:t>
        </w:r>
      </w:hyperlink>
      <w:r w:rsidR="0047638F" w:rsidRPr="0047638F">
        <w:rPr>
          <w:rStyle w:val="Hyperlink"/>
          <w:rFonts w:cstheme="minorHAnsi"/>
          <w:sz w:val="24"/>
          <w:szCs w:val="24"/>
        </w:rPr>
        <w:t xml:space="preserve"> </w:t>
      </w:r>
    </w:p>
    <w:p w14:paraId="7BE52785" w14:textId="77777777" w:rsidR="0047638F" w:rsidRPr="0047638F" w:rsidRDefault="0047638F" w:rsidP="0047638F">
      <w:pPr>
        <w:tabs>
          <w:tab w:val="right" w:pos="9360"/>
        </w:tabs>
        <w:spacing w:after="0" w:line="240" w:lineRule="auto"/>
        <w:rPr>
          <w:rStyle w:val="Hyperlink"/>
          <w:rFonts w:cstheme="minorHAnsi"/>
          <w:sz w:val="24"/>
          <w:szCs w:val="24"/>
        </w:rPr>
      </w:pPr>
    </w:p>
    <w:p w14:paraId="103A51F5" w14:textId="59E27A9A" w:rsidR="00EE66B8" w:rsidRPr="00613394" w:rsidRDefault="0047638F" w:rsidP="00EE66B8">
      <w:pPr>
        <w:pStyle w:val="Header"/>
        <w:rPr>
          <w:rFonts w:cstheme="minorHAnsi"/>
          <w:b/>
          <w:i/>
          <w:sz w:val="24"/>
          <w:szCs w:val="24"/>
        </w:rPr>
      </w:pPr>
      <w:r w:rsidRPr="0047638F">
        <w:rPr>
          <w:rFonts w:cstheme="minorHAnsi"/>
          <w:b/>
          <w:i/>
          <w:sz w:val="24"/>
          <w:szCs w:val="24"/>
        </w:rPr>
        <w:t>Compliance with this policy also requires compliance with state or local laws or regulations that provide additional protections for human subjects.</w:t>
      </w:r>
    </w:p>
    <w:p w14:paraId="45FB0818" w14:textId="77777777" w:rsidR="001149F1" w:rsidRDefault="001149F1" w:rsidP="00086D73">
      <w:pPr>
        <w:tabs>
          <w:tab w:val="left" w:pos="450"/>
        </w:tabs>
        <w:spacing w:after="0" w:line="240" w:lineRule="auto"/>
        <w:jc w:val="both"/>
        <w:rPr>
          <w:sz w:val="24"/>
          <w:szCs w:val="24"/>
        </w:rPr>
      </w:pPr>
    </w:p>
    <w:p w14:paraId="1AF742DC" w14:textId="67E27FDB" w:rsidR="00EE66B8" w:rsidRDefault="001149F1" w:rsidP="00613394">
      <w:pPr>
        <w:tabs>
          <w:tab w:val="left" w:pos="450"/>
        </w:tabs>
        <w:spacing w:after="0" w:line="240" w:lineRule="auto"/>
        <w:jc w:val="both"/>
        <w:rPr>
          <w:b/>
          <w:color w:val="1F4E79" w:themeColor="accent1" w:themeShade="80"/>
          <w:sz w:val="28"/>
          <w:szCs w:val="28"/>
        </w:rPr>
      </w:pPr>
      <w:r>
        <w:rPr>
          <w:b/>
          <w:color w:val="1F4E79" w:themeColor="accent1" w:themeShade="80"/>
          <w:sz w:val="28"/>
          <w:szCs w:val="28"/>
        </w:rPr>
        <w:t>IV.</w:t>
      </w:r>
      <w:r>
        <w:rPr>
          <w:b/>
          <w:color w:val="1F4E79" w:themeColor="accent1" w:themeShade="80"/>
          <w:sz w:val="28"/>
          <w:szCs w:val="28"/>
        </w:rPr>
        <w:tab/>
      </w:r>
      <w:r w:rsidR="0047638F">
        <w:rPr>
          <w:b/>
          <w:color w:val="1F4E79" w:themeColor="accent1" w:themeShade="80"/>
          <w:sz w:val="28"/>
          <w:szCs w:val="28"/>
        </w:rPr>
        <w:t>DEFINITION</w:t>
      </w:r>
      <w:r w:rsidR="00CD3B07">
        <w:rPr>
          <w:b/>
          <w:color w:val="1F4E79" w:themeColor="accent1" w:themeShade="80"/>
          <w:sz w:val="28"/>
          <w:szCs w:val="28"/>
        </w:rPr>
        <w:t>S</w:t>
      </w:r>
    </w:p>
    <w:p w14:paraId="33162424" w14:textId="77777777" w:rsidR="00613394" w:rsidRPr="0047638F" w:rsidRDefault="00613394" w:rsidP="0047638F">
      <w:pPr>
        <w:spacing w:after="0" w:line="240" w:lineRule="auto"/>
        <w:jc w:val="both"/>
        <w:rPr>
          <w:rFonts w:cstheme="minorHAnsi"/>
          <w:b/>
          <w:color w:val="1F4E79" w:themeColor="accent1" w:themeShade="80"/>
          <w:sz w:val="24"/>
          <w:szCs w:val="24"/>
        </w:rPr>
      </w:pPr>
    </w:p>
    <w:p w14:paraId="192E6F86" w14:textId="77777777" w:rsidR="0047638F" w:rsidRPr="0047638F" w:rsidRDefault="0047638F" w:rsidP="0047638F">
      <w:pPr>
        <w:autoSpaceDE w:val="0"/>
        <w:autoSpaceDN w:val="0"/>
        <w:adjustRightInd w:val="0"/>
        <w:spacing w:after="0" w:line="240" w:lineRule="auto"/>
        <w:rPr>
          <w:rFonts w:cstheme="minorHAnsi"/>
          <w:sz w:val="24"/>
          <w:szCs w:val="24"/>
        </w:rPr>
      </w:pPr>
      <w:r w:rsidRPr="0047638F">
        <w:rPr>
          <w:rFonts w:cstheme="minorHAnsi"/>
          <w:b/>
          <w:sz w:val="24"/>
          <w:szCs w:val="24"/>
        </w:rPr>
        <w:t>Clinical investigation</w:t>
      </w:r>
      <w:r w:rsidRPr="0047638F">
        <w:rPr>
          <w:rFonts w:cstheme="minorHAnsi"/>
          <w:sz w:val="24"/>
          <w:szCs w:val="24"/>
        </w:rPr>
        <w:t xml:space="preserve"> means any experiment that involves a test article and one or more human subjects, and that either must meet the requirements for prior submission to the Food and Drug Administration under section 505 (</w:t>
      </w:r>
      <w:proofErr w:type="spellStart"/>
      <w:r w:rsidRPr="0047638F">
        <w:rPr>
          <w:rFonts w:cstheme="minorHAnsi"/>
          <w:sz w:val="24"/>
          <w:szCs w:val="24"/>
        </w:rPr>
        <w:t>i</w:t>
      </w:r>
      <w:proofErr w:type="spellEnd"/>
      <w:r w:rsidRPr="0047638F">
        <w:rPr>
          <w:rFonts w:cstheme="minorHAnsi"/>
          <w:sz w:val="24"/>
          <w:szCs w:val="24"/>
        </w:rPr>
        <w:t>) or 520 (g) of the Federal Food, Drug and Cosmetic Act, or need not meet the requirements for prior submission to the FDA under these sections of the Federal Food, Drug and Cosmetic Act, but the results of which are intended to be later submitted to, or held for inspection by the FDA as a part of an application for a research or marketing permit. The terms research, clinical research, clinical study, study, and clinical investigation are synonymous for purposes of FDA regulation.</w:t>
      </w:r>
    </w:p>
    <w:p w14:paraId="257928F2" w14:textId="77777777" w:rsidR="0047638F" w:rsidRPr="0047638F" w:rsidRDefault="0047638F" w:rsidP="0047638F">
      <w:pPr>
        <w:pStyle w:val="Header"/>
        <w:tabs>
          <w:tab w:val="clear" w:pos="4680"/>
          <w:tab w:val="clear" w:pos="9360"/>
        </w:tabs>
        <w:rPr>
          <w:rFonts w:cstheme="minorHAnsi"/>
          <w:b/>
          <w:sz w:val="24"/>
          <w:szCs w:val="24"/>
        </w:rPr>
      </w:pPr>
    </w:p>
    <w:p w14:paraId="34248768" w14:textId="77777777" w:rsidR="0047638F" w:rsidRPr="0047638F" w:rsidRDefault="0047638F" w:rsidP="0047638F">
      <w:pPr>
        <w:pStyle w:val="Header"/>
        <w:tabs>
          <w:tab w:val="clear" w:pos="4680"/>
          <w:tab w:val="clear" w:pos="9360"/>
        </w:tabs>
        <w:rPr>
          <w:rFonts w:cstheme="minorHAnsi"/>
          <w:sz w:val="24"/>
          <w:szCs w:val="24"/>
        </w:rPr>
      </w:pPr>
      <w:r w:rsidRPr="0047638F">
        <w:rPr>
          <w:rFonts w:cstheme="minorHAnsi"/>
          <w:b/>
          <w:sz w:val="24"/>
          <w:szCs w:val="24"/>
        </w:rPr>
        <w:t xml:space="preserve">Existing data </w:t>
      </w:r>
      <w:r w:rsidRPr="0047638F">
        <w:rPr>
          <w:rFonts w:cstheme="minorHAnsi"/>
          <w:sz w:val="24"/>
          <w:szCs w:val="24"/>
        </w:rPr>
        <w:t>means data that are already in existence at the time when the IRB application is submitted for initial review.</w:t>
      </w:r>
    </w:p>
    <w:p w14:paraId="786B8329" w14:textId="77777777" w:rsidR="0047638F" w:rsidRPr="0047638F" w:rsidRDefault="0047638F" w:rsidP="0047638F">
      <w:pPr>
        <w:pStyle w:val="Header"/>
        <w:tabs>
          <w:tab w:val="clear" w:pos="4680"/>
          <w:tab w:val="clear" w:pos="9360"/>
        </w:tabs>
        <w:rPr>
          <w:rFonts w:cstheme="minorHAnsi"/>
          <w:sz w:val="24"/>
          <w:szCs w:val="24"/>
        </w:rPr>
      </w:pPr>
    </w:p>
    <w:p w14:paraId="4F93A8B1" w14:textId="77777777" w:rsidR="0047638F" w:rsidRPr="0047638F" w:rsidRDefault="0047638F" w:rsidP="0047638F">
      <w:pPr>
        <w:widowControl w:val="0"/>
        <w:autoSpaceDE w:val="0"/>
        <w:autoSpaceDN w:val="0"/>
        <w:adjustRightInd w:val="0"/>
        <w:spacing w:after="0" w:line="240" w:lineRule="auto"/>
        <w:rPr>
          <w:rFonts w:cstheme="minorHAnsi"/>
          <w:sz w:val="24"/>
          <w:szCs w:val="24"/>
        </w:rPr>
      </w:pPr>
      <w:r w:rsidRPr="0047638F">
        <w:rPr>
          <w:rFonts w:cstheme="minorHAnsi"/>
          <w:b/>
          <w:sz w:val="24"/>
          <w:szCs w:val="24"/>
        </w:rPr>
        <w:t xml:space="preserve">Generalizable knowledge: </w:t>
      </w:r>
      <w:r w:rsidRPr="0047638F">
        <w:rPr>
          <w:rFonts w:cstheme="minorHAnsi"/>
          <w:sz w:val="24"/>
          <w:szCs w:val="24"/>
        </w:rPr>
        <w:t xml:space="preserve"> A systematic investigation is typically designed to develop or contribute to generalizable knowledge when the following conditions are satisfied:</w:t>
      </w:r>
    </w:p>
    <w:p w14:paraId="6EBB5E3F" w14:textId="77777777" w:rsidR="0047638F" w:rsidRPr="0047638F" w:rsidRDefault="0047638F" w:rsidP="0047638F">
      <w:pPr>
        <w:pStyle w:val="ListParagraph"/>
        <w:widowControl w:val="0"/>
        <w:numPr>
          <w:ilvl w:val="1"/>
          <w:numId w:val="29"/>
        </w:numPr>
        <w:tabs>
          <w:tab w:val="clear" w:pos="2160"/>
        </w:tabs>
        <w:autoSpaceDE w:val="0"/>
        <w:autoSpaceDN w:val="0"/>
        <w:adjustRightInd w:val="0"/>
        <w:ind w:left="360" w:hanging="360"/>
        <w:rPr>
          <w:rFonts w:cstheme="minorHAnsi"/>
          <w:sz w:val="24"/>
          <w:szCs w:val="24"/>
        </w:rPr>
      </w:pPr>
      <w:r w:rsidRPr="0047638F">
        <w:rPr>
          <w:rFonts w:cstheme="minorHAnsi"/>
          <w:sz w:val="24"/>
          <w:szCs w:val="24"/>
        </w:rPr>
        <w:t>The information generated increases an established body of knowledge or enhances an established theoretical framework;</w:t>
      </w:r>
    </w:p>
    <w:p w14:paraId="251B8FD3" w14:textId="77777777" w:rsidR="0047638F" w:rsidRPr="0047638F" w:rsidRDefault="0047638F" w:rsidP="0047638F">
      <w:pPr>
        <w:pStyle w:val="ListParagraph"/>
        <w:widowControl w:val="0"/>
        <w:numPr>
          <w:ilvl w:val="1"/>
          <w:numId w:val="29"/>
        </w:numPr>
        <w:tabs>
          <w:tab w:val="clear" w:pos="2160"/>
        </w:tabs>
        <w:autoSpaceDE w:val="0"/>
        <w:autoSpaceDN w:val="0"/>
        <w:adjustRightInd w:val="0"/>
        <w:ind w:left="360" w:hanging="360"/>
        <w:rPr>
          <w:rFonts w:cstheme="minorHAnsi"/>
          <w:sz w:val="24"/>
          <w:szCs w:val="24"/>
        </w:rPr>
      </w:pPr>
      <w:r w:rsidRPr="0047638F">
        <w:rPr>
          <w:rFonts w:cstheme="minorHAnsi"/>
          <w:sz w:val="24"/>
          <w:szCs w:val="24"/>
        </w:rPr>
        <w:t>The results are expected to apply to a larger population beyond the site of data collection or the group studied; and</w:t>
      </w:r>
    </w:p>
    <w:p w14:paraId="2D694BB9" w14:textId="77777777" w:rsidR="0047638F" w:rsidRPr="0047638F" w:rsidRDefault="0047638F" w:rsidP="0047638F">
      <w:pPr>
        <w:pStyle w:val="ListParagraph"/>
        <w:widowControl w:val="0"/>
        <w:numPr>
          <w:ilvl w:val="1"/>
          <w:numId w:val="29"/>
        </w:numPr>
        <w:tabs>
          <w:tab w:val="clear" w:pos="2160"/>
        </w:tabs>
        <w:autoSpaceDE w:val="0"/>
        <w:autoSpaceDN w:val="0"/>
        <w:adjustRightInd w:val="0"/>
        <w:ind w:left="360" w:hanging="360"/>
        <w:rPr>
          <w:rFonts w:cstheme="minorHAnsi"/>
          <w:sz w:val="24"/>
          <w:szCs w:val="24"/>
        </w:rPr>
      </w:pPr>
      <w:r w:rsidRPr="0047638F">
        <w:rPr>
          <w:rFonts w:cstheme="minorHAnsi"/>
          <w:sz w:val="24"/>
          <w:szCs w:val="24"/>
        </w:rPr>
        <w:t>The project is intended to yield the results that can be replicated in other settings using the same research design.</w:t>
      </w:r>
    </w:p>
    <w:p w14:paraId="3B8AC948" w14:textId="77777777" w:rsidR="0047638F" w:rsidRPr="0047638F" w:rsidRDefault="0047638F" w:rsidP="0047638F">
      <w:pPr>
        <w:pStyle w:val="Header"/>
        <w:tabs>
          <w:tab w:val="clear" w:pos="4680"/>
          <w:tab w:val="clear" w:pos="9360"/>
        </w:tabs>
        <w:rPr>
          <w:rFonts w:cstheme="minorHAnsi"/>
          <w:b/>
          <w:sz w:val="24"/>
          <w:szCs w:val="24"/>
        </w:rPr>
      </w:pPr>
    </w:p>
    <w:p w14:paraId="56589729" w14:textId="77777777" w:rsidR="0047638F" w:rsidRPr="0047638F" w:rsidRDefault="0047638F" w:rsidP="0047638F">
      <w:pPr>
        <w:pStyle w:val="Header"/>
        <w:tabs>
          <w:tab w:val="clear" w:pos="4680"/>
          <w:tab w:val="clear" w:pos="9360"/>
        </w:tabs>
        <w:rPr>
          <w:rFonts w:cstheme="minorHAnsi"/>
          <w:sz w:val="24"/>
          <w:szCs w:val="24"/>
        </w:rPr>
      </w:pPr>
      <w:r w:rsidRPr="0047638F">
        <w:rPr>
          <w:rFonts w:cstheme="minorHAnsi"/>
          <w:b/>
          <w:sz w:val="24"/>
          <w:szCs w:val="24"/>
        </w:rPr>
        <w:t>Human subject</w:t>
      </w:r>
      <w:r w:rsidRPr="0047638F">
        <w:rPr>
          <w:rFonts w:cstheme="minorHAnsi"/>
          <w:sz w:val="24"/>
          <w:szCs w:val="24"/>
        </w:rPr>
        <w:t xml:space="preserve"> means:</w:t>
      </w:r>
    </w:p>
    <w:p w14:paraId="1FABEF17" w14:textId="77777777" w:rsidR="0047638F" w:rsidRPr="0047638F" w:rsidRDefault="0047638F" w:rsidP="0047638F">
      <w:pPr>
        <w:pStyle w:val="Header"/>
        <w:numPr>
          <w:ilvl w:val="3"/>
          <w:numId w:val="29"/>
        </w:numPr>
        <w:tabs>
          <w:tab w:val="clear" w:pos="2880"/>
          <w:tab w:val="clear" w:pos="4680"/>
          <w:tab w:val="clear" w:pos="9360"/>
        </w:tabs>
        <w:ind w:left="360"/>
        <w:rPr>
          <w:rFonts w:cstheme="minorHAnsi"/>
          <w:sz w:val="24"/>
          <w:szCs w:val="24"/>
        </w:rPr>
      </w:pPr>
      <w:r w:rsidRPr="0047638F">
        <w:rPr>
          <w:rFonts w:cstheme="minorHAnsi"/>
          <w:sz w:val="24"/>
          <w:szCs w:val="24"/>
        </w:rPr>
        <w:t xml:space="preserve">Under HHS regulations, a living individual about whom an investigator (whether professional or student) conducting research: </w:t>
      </w:r>
    </w:p>
    <w:p w14:paraId="22000E1D" w14:textId="77777777" w:rsidR="0047638F" w:rsidRPr="0047638F" w:rsidRDefault="0047638F" w:rsidP="0047638F">
      <w:pPr>
        <w:pStyle w:val="Header"/>
        <w:numPr>
          <w:ilvl w:val="4"/>
          <w:numId w:val="31"/>
        </w:numPr>
        <w:tabs>
          <w:tab w:val="clear" w:pos="4680"/>
          <w:tab w:val="clear" w:pos="9360"/>
        </w:tabs>
        <w:ind w:left="720"/>
        <w:rPr>
          <w:rFonts w:cstheme="minorHAnsi"/>
          <w:sz w:val="24"/>
          <w:szCs w:val="24"/>
        </w:rPr>
      </w:pPr>
      <w:r w:rsidRPr="0047638F">
        <w:rPr>
          <w:rFonts w:cstheme="minorHAnsi"/>
          <w:sz w:val="24"/>
          <w:szCs w:val="24"/>
        </w:rPr>
        <w:t>Obtains information or biospecimens through intervention or interaction with the individual, and uses, studies, or analyzes the information or biospecimens; or</w:t>
      </w:r>
    </w:p>
    <w:p w14:paraId="288CA610" w14:textId="33D795D1" w:rsidR="0047638F" w:rsidRPr="0047638F" w:rsidRDefault="0047638F" w:rsidP="0047638F">
      <w:pPr>
        <w:pStyle w:val="Header"/>
        <w:numPr>
          <w:ilvl w:val="4"/>
          <w:numId w:val="31"/>
        </w:numPr>
        <w:tabs>
          <w:tab w:val="clear" w:pos="4680"/>
          <w:tab w:val="clear" w:pos="9360"/>
        </w:tabs>
        <w:ind w:left="720"/>
        <w:rPr>
          <w:rFonts w:cstheme="minorHAnsi"/>
          <w:sz w:val="24"/>
          <w:szCs w:val="24"/>
        </w:rPr>
      </w:pPr>
      <w:r w:rsidRPr="0047638F">
        <w:rPr>
          <w:rFonts w:cstheme="minorHAnsi"/>
          <w:sz w:val="24"/>
          <w:szCs w:val="24"/>
        </w:rPr>
        <w:t>Obtains, uses, studies, analyzes, or generates identifiable private information or identifiable biospecimens.</w:t>
      </w:r>
    </w:p>
    <w:p w14:paraId="36CB796C" w14:textId="77777777" w:rsidR="0047638F" w:rsidRPr="0047638F" w:rsidRDefault="0047638F" w:rsidP="0047638F">
      <w:pPr>
        <w:pStyle w:val="Header"/>
        <w:tabs>
          <w:tab w:val="clear" w:pos="4680"/>
          <w:tab w:val="clear" w:pos="9360"/>
        </w:tabs>
        <w:rPr>
          <w:rFonts w:cstheme="minorHAnsi"/>
          <w:b/>
          <w:sz w:val="24"/>
          <w:szCs w:val="24"/>
        </w:rPr>
      </w:pPr>
    </w:p>
    <w:p w14:paraId="36FDF442" w14:textId="77777777" w:rsidR="0047638F" w:rsidRPr="0047638F" w:rsidRDefault="0047638F" w:rsidP="0047638F">
      <w:pPr>
        <w:pStyle w:val="Header"/>
        <w:tabs>
          <w:tab w:val="clear" w:pos="4680"/>
          <w:tab w:val="clear" w:pos="9360"/>
        </w:tabs>
        <w:ind w:firstLine="720"/>
        <w:rPr>
          <w:rFonts w:cstheme="minorHAnsi"/>
          <w:b/>
          <w:sz w:val="24"/>
          <w:szCs w:val="24"/>
        </w:rPr>
      </w:pPr>
      <w:r w:rsidRPr="0047638F">
        <w:rPr>
          <w:rFonts w:cstheme="minorHAnsi"/>
          <w:b/>
          <w:sz w:val="24"/>
          <w:szCs w:val="24"/>
        </w:rPr>
        <w:t>OR</w:t>
      </w:r>
    </w:p>
    <w:p w14:paraId="47906184" w14:textId="77777777" w:rsidR="0047638F" w:rsidRPr="0047638F" w:rsidRDefault="0047638F" w:rsidP="0047638F">
      <w:pPr>
        <w:pStyle w:val="Header"/>
        <w:tabs>
          <w:tab w:val="clear" w:pos="4680"/>
          <w:tab w:val="clear" w:pos="9360"/>
        </w:tabs>
        <w:ind w:firstLine="720"/>
        <w:rPr>
          <w:rFonts w:cstheme="minorHAnsi"/>
          <w:b/>
          <w:sz w:val="24"/>
          <w:szCs w:val="24"/>
        </w:rPr>
      </w:pPr>
    </w:p>
    <w:p w14:paraId="08F9E11E" w14:textId="77777777" w:rsidR="0047638F" w:rsidRPr="0047638F" w:rsidRDefault="0047638F" w:rsidP="0047638F">
      <w:pPr>
        <w:pStyle w:val="ListParagraph"/>
        <w:numPr>
          <w:ilvl w:val="3"/>
          <w:numId w:val="29"/>
        </w:numPr>
        <w:tabs>
          <w:tab w:val="clear" w:pos="2880"/>
        </w:tabs>
        <w:autoSpaceDE w:val="0"/>
        <w:autoSpaceDN w:val="0"/>
        <w:adjustRightInd w:val="0"/>
        <w:ind w:left="360"/>
        <w:rPr>
          <w:rFonts w:cstheme="minorHAnsi"/>
          <w:sz w:val="24"/>
          <w:szCs w:val="24"/>
        </w:rPr>
      </w:pPr>
      <w:r w:rsidRPr="0047638F">
        <w:rPr>
          <w:rFonts w:cstheme="minorHAnsi"/>
          <w:sz w:val="24"/>
          <w:szCs w:val="24"/>
        </w:rPr>
        <w:t>Under the FDA regulations, an individual who is or becomes a participant in research, either as a recipient of the test article or as a control.  For research involving medical devices, a human subject is also an individual on whose specimen an investigational device is used.  A subject might be either a healthy individual or a patient.  When an in vitro diagnostic medical device is being tested, both identifiable and non-identifiable tissue specimens are considered human subjects.</w:t>
      </w:r>
    </w:p>
    <w:p w14:paraId="753DFF68" w14:textId="77777777" w:rsidR="0047638F" w:rsidRPr="0047638F" w:rsidRDefault="0047638F" w:rsidP="0047638F">
      <w:pPr>
        <w:pStyle w:val="Header"/>
        <w:tabs>
          <w:tab w:val="clear" w:pos="4680"/>
          <w:tab w:val="clear" w:pos="9360"/>
        </w:tabs>
        <w:rPr>
          <w:rFonts w:cstheme="minorHAnsi"/>
          <w:b/>
          <w:sz w:val="24"/>
          <w:szCs w:val="24"/>
        </w:rPr>
      </w:pPr>
    </w:p>
    <w:p w14:paraId="667C2BDE" w14:textId="77777777" w:rsidR="0047638F" w:rsidRPr="0047638F" w:rsidRDefault="0047638F" w:rsidP="0047638F">
      <w:pPr>
        <w:pStyle w:val="Header"/>
        <w:tabs>
          <w:tab w:val="clear" w:pos="4680"/>
          <w:tab w:val="clear" w:pos="9360"/>
        </w:tabs>
        <w:rPr>
          <w:rFonts w:cstheme="minorHAnsi"/>
          <w:sz w:val="24"/>
          <w:szCs w:val="24"/>
        </w:rPr>
      </w:pPr>
      <w:r w:rsidRPr="0047638F">
        <w:rPr>
          <w:rFonts w:cstheme="minorHAnsi"/>
          <w:b/>
          <w:sz w:val="24"/>
          <w:szCs w:val="24"/>
        </w:rPr>
        <w:t>Identifiable</w:t>
      </w:r>
      <w:r w:rsidRPr="0047638F">
        <w:rPr>
          <w:rFonts w:cstheme="minorHAnsi"/>
          <w:sz w:val="24"/>
          <w:szCs w:val="24"/>
        </w:rPr>
        <w:t xml:space="preserve"> means that the identity of the subject is or may readily be ascertained directly, or indirectly through coding systems, by the investigator(s) or any other individuals associated with the investigation, including the sponsor of the study.</w:t>
      </w:r>
    </w:p>
    <w:p w14:paraId="44ABE3DA" w14:textId="77777777" w:rsidR="0047638F" w:rsidRPr="0047638F" w:rsidRDefault="0047638F" w:rsidP="0047638F">
      <w:pPr>
        <w:pStyle w:val="Header"/>
        <w:tabs>
          <w:tab w:val="clear" w:pos="4680"/>
          <w:tab w:val="clear" w:pos="9360"/>
        </w:tabs>
        <w:rPr>
          <w:rFonts w:cstheme="minorHAnsi"/>
          <w:b/>
          <w:sz w:val="24"/>
          <w:szCs w:val="24"/>
        </w:rPr>
      </w:pPr>
    </w:p>
    <w:p w14:paraId="1150F3DF" w14:textId="77777777" w:rsidR="0047638F" w:rsidRPr="0047638F" w:rsidRDefault="0047638F" w:rsidP="0047638F">
      <w:pPr>
        <w:pStyle w:val="Header"/>
        <w:tabs>
          <w:tab w:val="clear" w:pos="4680"/>
          <w:tab w:val="clear" w:pos="9360"/>
        </w:tabs>
        <w:rPr>
          <w:rFonts w:cstheme="minorHAnsi"/>
          <w:sz w:val="24"/>
          <w:szCs w:val="24"/>
        </w:rPr>
      </w:pPr>
      <w:r w:rsidRPr="0047638F">
        <w:rPr>
          <w:rFonts w:cstheme="minorHAnsi"/>
          <w:b/>
          <w:sz w:val="24"/>
          <w:szCs w:val="24"/>
        </w:rPr>
        <w:t xml:space="preserve">Identifiable private information </w:t>
      </w:r>
      <w:r w:rsidRPr="0047638F">
        <w:rPr>
          <w:rFonts w:cstheme="minorHAnsi"/>
          <w:sz w:val="24"/>
          <w:szCs w:val="24"/>
        </w:rPr>
        <w:t>is private information for which the identity of the subject is or may readily be ascertained by the investigator or associated with the information.</w:t>
      </w:r>
    </w:p>
    <w:p w14:paraId="69A86509" w14:textId="77777777" w:rsidR="0047638F" w:rsidRPr="0047638F" w:rsidRDefault="0047638F" w:rsidP="0047638F">
      <w:pPr>
        <w:pStyle w:val="Header"/>
        <w:tabs>
          <w:tab w:val="clear" w:pos="4680"/>
          <w:tab w:val="clear" w:pos="9360"/>
        </w:tabs>
        <w:rPr>
          <w:rFonts w:cstheme="minorHAnsi"/>
          <w:sz w:val="24"/>
          <w:szCs w:val="24"/>
        </w:rPr>
      </w:pPr>
    </w:p>
    <w:p w14:paraId="7C38FEDB" w14:textId="77777777" w:rsidR="0047638F" w:rsidRPr="0047638F" w:rsidRDefault="0047638F" w:rsidP="0047638F">
      <w:pPr>
        <w:pStyle w:val="Header"/>
        <w:tabs>
          <w:tab w:val="clear" w:pos="4680"/>
          <w:tab w:val="clear" w:pos="9360"/>
        </w:tabs>
        <w:rPr>
          <w:rFonts w:cstheme="minorHAnsi"/>
          <w:sz w:val="24"/>
          <w:szCs w:val="24"/>
        </w:rPr>
      </w:pPr>
      <w:r w:rsidRPr="0047638F">
        <w:rPr>
          <w:rFonts w:cstheme="minorHAnsi"/>
          <w:b/>
          <w:sz w:val="24"/>
          <w:szCs w:val="24"/>
        </w:rPr>
        <w:t>Identifiable biospecimens</w:t>
      </w:r>
      <w:r w:rsidRPr="0047638F">
        <w:rPr>
          <w:rFonts w:cstheme="minorHAnsi"/>
          <w:sz w:val="24"/>
          <w:szCs w:val="24"/>
        </w:rPr>
        <w:t xml:space="preserve"> are biospecimens for which the identity of the subject is or may readily be ascertained by the investigator or associated with the information.</w:t>
      </w:r>
    </w:p>
    <w:p w14:paraId="319609AD" w14:textId="77777777" w:rsidR="0047638F" w:rsidRPr="0047638F" w:rsidRDefault="0047638F" w:rsidP="0047638F">
      <w:pPr>
        <w:pStyle w:val="Header"/>
        <w:tabs>
          <w:tab w:val="clear" w:pos="4680"/>
          <w:tab w:val="clear" w:pos="9360"/>
        </w:tabs>
        <w:rPr>
          <w:rFonts w:cstheme="minorHAnsi"/>
          <w:sz w:val="24"/>
          <w:szCs w:val="24"/>
        </w:rPr>
      </w:pPr>
    </w:p>
    <w:p w14:paraId="63FDFDE6" w14:textId="77777777" w:rsidR="0047638F" w:rsidRPr="0047638F" w:rsidRDefault="0047638F" w:rsidP="0047638F">
      <w:pPr>
        <w:pStyle w:val="Header"/>
        <w:tabs>
          <w:tab w:val="clear" w:pos="4680"/>
          <w:tab w:val="clear" w:pos="9360"/>
        </w:tabs>
        <w:rPr>
          <w:rFonts w:cstheme="minorHAnsi"/>
          <w:sz w:val="24"/>
          <w:szCs w:val="24"/>
        </w:rPr>
      </w:pPr>
      <w:r w:rsidRPr="0047638F">
        <w:rPr>
          <w:rFonts w:cstheme="minorHAnsi"/>
          <w:b/>
          <w:sz w:val="24"/>
          <w:szCs w:val="24"/>
        </w:rPr>
        <w:t>Interaction</w:t>
      </w:r>
      <w:r w:rsidRPr="0047638F">
        <w:rPr>
          <w:rFonts w:cstheme="minorHAnsi"/>
          <w:sz w:val="24"/>
          <w:szCs w:val="24"/>
        </w:rPr>
        <w:t xml:space="preserve"> includes communication or interpersonal contact between investigator and subject.</w:t>
      </w:r>
    </w:p>
    <w:p w14:paraId="22024868" w14:textId="77777777" w:rsidR="0047638F" w:rsidRPr="0047638F" w:rsidRDefault="0047638F" w:rsidP="0047638F">
      <w:pPr>
        <w:pStyle w:val="Header"/>
        <w:tabs>
          <w:tab w:val="clear" w:pos="4680"/>
          <w:tab w:val="clear" w:pos="9360"/>
        </w:tabs>
        <w:rPr>
          <w:rFonts w:cstheme="minorHAnsi"/>
          <w:b/>
          <w:sz w:val="24"/>
          <w:szCs w:val="24"/>
        </w:rPr>
      </w:pPr>
    </w:p>
    <w:p w14:paraId="4CA08E2E" w14:textId="77777777" w:rsidR="0047638F" w:rsidRPr="0047638F" w:rsidRDefault="0047638F" w:rsidP="0047638F">
      <w:pPr>
        <w:pStyle w:val="Header"/>
        <w:tabs>
          <w:tab w:val="clear" w:pos="4680"/>
          <w:tab w:val="clear" w:pos="9360"/>
        </w:tabs>
        <w:rPr>
          <w:rFonts w:cstheme="minorHAnsi"/>
          <w:b/>
          <w:sz w:val="24"/>
          <w:szCs w:val="24"/>
        </w:rPr>
      </w:pPr>
      <w:r w:rsidRPr="0047638F">
        <w:rPr>
          <w:rFonts w:cstheme="minorHAnsi"/>
          <w:b/>
          <w:sz w:val="24"/>
          <w:szCs w:val="24"/>
        </w:rPr>
        <w:t xml:space="preserve">Intervention </w:t>
      </w:r>
      <w:r w:rsidRPr="0047638F">
        <w:rPr>
          <w:rFonts w:cstheme="minorHAnsi"/>
          <w:sz w:val="24"/>
          <w:szCs w:val="24"/>
        </w:rPr>
        <w:t>includes both physical procedures by which data are gathered (for example, venipuncture) and manipulations of the subject or the subject’s environment that are performed for research purposes.</w:t>
      </w:r>
    </w:p>
    <w:p w14:paraId="467B50BB" w14:textId="77777777" w:rsidR="0047638F" w:rsidRPr="0047638F" w:rsidRDefault="0047638F" w:rsidP="0047638F">
      <w:pPr>
        <w:pStyle w:val="Header"/>
        <w:tabs>
          <w:tab w:val="clear" w:pos="4680"/>
          <w:tab w:val="clear" w:pos="9360"/>
        </w:tabs>
        <w:rPr>
          <w:rFonts w:cstheme="minorHAnsi"/>
          <w:b/>
          <w:sz w:val="24"/>
          <w:szCs w:val="24"/>
        </w:rPr>
      </w:pPr>
    </w:p>
    <w:p w14:paraId="03D4DD7E" w14:textId="77777777" w:rsidR="0047638F" w:rsidRPr="0047638F" w:rsidRDefault="0047638F" w:rsidP="0047638F">
      <w:pPr>
        <w:pStyle w:val="Header"/>
        <w:tabs>
          <w:tab w:val="clear" w:pos="4680"/>
          <w:tab w:val="clear" w:pos="9360"/>
        </w:tabs>
        <w:rPr>
          <w:rFonts w:cstheme="minorHAnsi"/>
          <w:iCs/>
          <w:color w:val="000000"/>
          <w:sz w:val="24"/>
          <w:szCs w:val="24"/>
        </w:rPr>
      </w:pPr>
      <w:r w:rsidRPr="0047638F">
        <w:rPr>
          <w:rFonts w:cstheme="minorHAnsi"/>
          <w:b/>
          <w:iCs/>
          <w:color w:val="000000"/>
          <w:sz w:val="24"/>
          <w:szCs w:val="24"/>
        </w:rPr>
        <w:lastRenderedPageBreak/>
        <w:t xml:space="preserve">Minimal risk </w:t>
      </w:r>
      <w:r w:rsidRPr="0047638F">
        <w:rPr>
          <w:rFonts w:cstheme="minorHAnsi"/>
          <w:iCs/>
          <w:color w:val="000000"/>
          <w:sz w:val="24"/>
          <w:szCs w:val="24"/>
        </w:rPr>
        <w:t>means that the probability and magnitude of harm or discomfort anticipated in the research are not greater in and of themselves than those encountered in daily life or during the performance of routine physical or psychological examinations or tests.</w:t>
      </w:r>
    </w:p>
    <w:p w14:paraId="1841F029" w14:textId="77777777" w:rsidR="0047638F" w:rsidRPr="0047638F" w:rsidRDefault="0047638F" w:rsidP="0047638F">
      <w:pPr>
        <w:pStyle w:val="Header"/>
        <w:tabs>
          <w:tab w:val="clear" w:pos="4680"/>
          <w:tab w:val="clear" w:pos="9360"/>
        </w:tabs>
        <w:rPr>
          <w:rFonts w:cstheme="minorHAnsi"/>
          <w:b/>
          <w:iCs/>
          <w:color w:val="000000"/>
          <w:sz w:val="24"/>
          <w:szCs w:val="24"/>
        </w:rPr>
      </w:pPr>
    </w:p>
    <w:p w14:paraId="34A71004" w14:textId="77777777" w:rsidR="0047638F" w:rsidRPr="0047638F" w:rsidRDefault="0047638F" w:rsidP="0047638F">
      <w:pPr>
        <w:pStyle w:val="Header"/>
        <w:tabs>
          <w:tab w:val="clear" w:pos="4680"/>
          <w:tab w:val="clear" w:pos="9360"/>
        </w:tabs>
        <w:rPr>
          <w:rFonts w:cstheme="minorHAnsi"/>
          <w:b/>
          <w:sz w:val="24"/>
          <w:szCs w:val="24"/>
        </w:rPr>
      </w:pPr>
      <w:r w:rsidRPr="0047638F">
        <w:rPr>
          <w:rFonts w:cstheme="minorHAnsi"/>
          <w:b/>
          <w:iCs/>
          <w:color w:val="000000"/>
          <w:sz w:val="24"/>
          <w:szCs w:val="24"/>
        </w:rPr>
        <w:t>Private information</w:t>
      </w:r>
      <w:r w:rsidRPr="0047638F">
        <w:rPr>
          <w:rFonts w:cstheme="minorHAnsi"/>
          <w:color w:val="000000"/>
          <w:sz w:val="24"/>
          <w:szCs w:val="24"/>
        </w:rPr>
        <w:t xml:space="preserve">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individually identifiable in order for obtaining the information to constitute research involving human subjects.</w:t>
      </w:r>
      <w:r w:rsidRPr="0047638F">
        <w:rPr>
          <w:rFonts w:cstheme="minorHAnsi"/>
          <w:b/>
          <w:sz w:val="24"/>
          <w:szCs w:val="24"/>
        </w:rPr>
        <w:t xml:space="preserve"> </w:t>
      </w:r>
    </w:p>
    <w:p w14:paraId="081E28FF" w14:textId="77777777" w:rsidR="0047638F" w:rsidRPr="0047638F" w:rsidRDefault="0047638F" w:rsidP="0047638F">
      <w:pPr>
        <w:pStyle w:val="Header"/>
        <w:tabs>
          <w:tab w:val="clear" w:pos="4680"/>
          <w:tab w:val="clear" w:pos="9360"/>
        </w:tabs>
        <w:rPr>
          <w:rFonts w:cstheme="minorHAnsi"/>
          <w:b/>
          <w:sz w:val="24"/>
          <w:szCs w:val="24"/>
        </w:rPr>
      </w:pPr>
    </w:p>
    <w:p w14:paraId="08177351" w14:textId="77777777" w:rsidR="0047638F" w:rsidRPr="0047638F" w:rsidRDefault="0047638F" w:rsidP="0047638F">
      <w:pPr>
        <w:pStyle w:val="Header"/>
        <w:tabs>
          <w:tab w:val="clear" w:pos="4680"/>
          <w:tab w:val="clear" w:pos="9360"/>
        </w:tabs>
        <w:rPr>
          <w:rFonts w:cstheme="minorHAnsi"/>
          <w:b/>
          <w:sz w:val="24"/>
          <w:szCs w:val="24"/>
        </w:rPr>
      </w:pPr>
      <w:r w:rsidRPr="0047638F">
        <w:rPr>
          <w:rFonts w:cstheme="minorHAnsi"/>
          <w:b/>
          <w:sz w:val="24"/>
          <w:szCs w:val="24"/>
        </w:rPr>
        <w:t>Research</w:t>
      </w:r>
      <w:r w:rsidRPr="0047638F">
        <w:rPr>
          <w:rFonts w:cstheme="minorHAnsi"/>
          <w:sz w:val="24"/>
          <w:szCs w:val="24"/>
        </w:rPr>
        <w:t xml:space="preserve"> means a systematic investigation, including research development, testing, and evaluation, that is designed to develop or contribute to generalizable knowledge.  Activities that meet this definition constitute research for purposes of this policy, whether or not they are conducted or supported under a program, which is considered research for other purposes.  For example, some demonstration and service programs may include research activities.</w:t>
      </w:r>
      <w:r w:rsidRPr="0047638F">
        <w:rPr>
          <w:rFonts w:cstheme="minorHAnsi"/>
          <w:b/>
          <w:sz w:val="24"/>
          <w:szCs w:val="24"/>
        </w:rPr>
        <w:t xml:space="preserve"> </w:t>
      </w:r>
    </w:p>
    <w:p w14:paraId="06AF9224" w14:textId="77777777" w:rsidR="0047638F" w:rsidRPr="0047638F" w:rsidRDefault="0047638F" w:rsidP="0047638F">
      <w:pPr>
        <w:pStyle w:val="Header"/>
        <w:tabs>
          <w:tab w:val="clear" w:pos="4680"/>
          <w:tab w:val="clear" w:pos="9360"/>
        </w:tabs>
        <w:rPr>
          <w:rFonts w:cstheme="minorHAnsi"/>
          <w:b/>
          <w:sz w:val="24"/>
          <w:szCs w:val="24"/>
        </w:rPr>
      </w:pPr>
    </w:p>
    <w:p w14:paraId="18862CE6" w14:textId="77777777" w:rsidR="0047638F" w:rsidRPr="0047638F" w:rsidRDefault="0047638F" w:rsidP="0047638F">
      <w:pPr>
        <w:pStyle w:val="Header"/>
        <w:tabs>
          <w:tab w:val="clear" w:pos="4680"/>
          <w:tab w:val="clear" w:pos="9360"/>
        </w:tabs>
        <w:rPr>
          <w:rFonts w:cstheme="minorHAnsi"/>
          <w:sz w:val="24"/>
          <w:szCs w:val="24"/>
        </w:rPr>
      </w:pPr>
      <w:r w:rsidRPr="0047638F">
        <w:rPr>
          <w:rFonts w:cstheme="minorHAnsi"/>
          <w:sz w:val="24"/>
          <w:szCs w:val="24"/>
        </w:rPr>
        <w:t>The following activities are deemed not to be research which were added in the revised Common Rule (45 CFR 46.102(l)):</w:t>
      </w:r>
    </w:p>
    <w:p w14:paraId="6E752169" w14:textId="77777777" w:rsidR="0047638F" w:rsidRPr="0047638F" w:rsidRDefault="0047638F" w:rsidP="0047638F">
      <w:pPr>
        <w:pStyle w:val="Header"/>
        <w:numPr>
          <w:ilvl w:val="0"/>
          <w:numId w:val="32"/>
        </w:numPr>
        <w:tabs>
          <w:tab w:val="clear" w:pos="4680"/>
          <w:tab w:val="clear" w:pos="9360"/>
        </w:tabs>
        <w:ind w:left="360"/>
        <w:rPr>
          <w:rFonts w:cstheme="minorHAnsi"/>
          <w:sz w:val="24"/>
          <w:szCs w:val="24"/>
        </w:rPr>
      </w:pPr>
      <w:r w:rsidRPr="0047638F">
        <w:rPr>
          <w:rFonts w:cstheme="minorHAnsi"/>
          <w:sz w:val="24"/>
          <w:szCs w:val="24"/>
        </w:rPr>
        <w:t>Scholarly and journalistic activities (e.g., oral history, journalism, biography, literary criticism, legal research, and historical scholarship), including the collection and use of information, that focus directly on the specific individuals about whom the information is collected.</w:t>
      </w:r>
    </w:p>
    <w:p w14:paraId="1E8F9948" w14:textId="77777777" w:rsidR="0047638F" w:rsidRPr="0047638F" w:rsidRDefault="0047638F" w:rsidP="0047638F">
      <w:pPr>
        <w:pStyle w:val="Header"/>
        <w:numPr>
          <w:ilvl w:val="0"/>
          <w:numId w:val="32"/>
        </w:numPr>
        <w:tabs>
          <w:tab w:val="clear" w:pos="4680"/>
          <w:tab w:val="clear" w:pos="9360"/>
        </w:tabs>
        <w:ind w:left="360"/>
        <w:rPr>
          <w:rFonts w:cstheme="minorHAnsi"/>
          <w:sz w:val="24"/>
          <w:szCs w:val="24"/>
        </w:rPr>
      </w:pPr>
      <w:r w:rsidRPr="0047638F">
        <w:rPr>
          <w:rFonts w:cstheme="minorHAnsi"/>
          <w:sz w:val="24"/>
          <w:szCs w:val="24"/>
        </w:rPr>
        <w:t>Public health surveillance activities, including the collection and testing of information or biospecimens, conducted, supported, requested, ordered, required, or authorized by a public health authority. Such activities are limited to those necessary to allow a public health authority to identify, monitor, assess, or investigate potential public health signals, onsets of disease outbreaks, or conditions of public health importance (including trends, signals, risk factors, patterns in diseases, or increases in injuries from using consumer products). Such activities include those associated with providing timely situational awareness and priority setting during the course of an event or crisis that threatens public health (including natural or man-made disasters).</w:t>
      </w:r>
    </w:p>
    <w:p w14:paraId="05F8146F" w14:textId="77777777" w:rsidR="0047638F" w:rsidRPr="0047638F" w:rsidRDefault="0047638F" w:rsidP="0047638F">
      <w:pPr>
        <w:pStyle w:val="Header"/>
        <w:numPr>
          <w:ilvl w:val="0"/>
          <w:numId w:val="32"/>
        </w:numPr>
        <w:tabs>
          <w:tab w:val="clear" w:pos="4680"/>
          <w:tab w:val="clear" w:pos="9360"/>
        </w:tabs>
        <w:ind w:left="360"/>
        <w:rPr>
          <w:rFonts w:cstheme="minorHAnsi"/>
          <w:sz w:val="24"/>
          <w:szCs w:val="24"/>
        </w:rPr>
      </w:pPr>
      <w:r w:rsidRPr="0047638F">
        <w:rPr>
          <w:rFonts w:cstheme="minorHAnsi"/>
          <w:sz w:val="24"/>
          <w:szCs w:val="24"/>
        </w:rPr>
        <w:t>Collection and analysis of information, biospecimens, or records by or for a criminal justice agency for activities authorized by law or court order solely for criminal justice or criminal investigative purposes.</w:t>
      </w:r>
    </w:p>
    <w:p w14:paraId="19349F6C" w14:textId="77777777" w:rsidR="0047638F" w:rsidRPr="0047638F" w:rsidRDefault="0047638F" w:rsidP="0047638F">
      <w:pPr>
        <w:pStyle w:val="Header"/>
        <w:numPr>
          <w:ilvl w:val="0"/>
          <w:numId w:val="32"/>
        </w:numPr>
        <w:tabs>
          <w:tab w:val="clear" w:pos="4680"/>
          <w:tab w:val="clear" w:pos="9360"/>
        </w:tabs>
        <w:ind w:left="360"/>
        <w:rPr>
          <w:rFonts w:cstheme="minorHAnsi"/>
          <w:sz w:val="24"/>
          <w:szCs w:val="24"/>
        </w:rPr>
      </w:pPr>
      <w:r w:rsidRPr="0047638F">
        <w:rPr>
          <w:rFonts w:cstheme="minorHAnsi"/>
          <w:sz w:val="24"/>
          <w:szCs w:val="24"/>
        </w:rPr>
        <w:t>Authorized operational activities (as determined by each agency) in support of intelligence, homeland security, defense, or other national security missions.</w:t>
      </w:r>
    </w:p>
    <w:p w14:paraId="12D4B573" w14:textId="77777777" w:rsidR="0047638F" w:rsidRPr="0047638F" w:rsidRDefault="0047638F" w:rsidP="0047638F">
      <w:pPr>
        <w:pStyle w:val="Header"/>
        <w:tabs>
          <w:tab w:val="clear" w:pos="4680"/>
          <w:tab w:val="clear" w:pos="9360"/>
        </w:tabs>
        <w:rPr>
          <w:rFonts w:cstheme="minorHAnsi"/>
          <w:b/>
          <w:sz w:val="24"/>
          <w:szCs w:val="24"/>
        </w:rPr>
      </w:pPr>
    </w:p>
    <w:p w14:paraId="0541ADA2" w14:textId="77777777" w:rsidR="0047638F" w:rsidRPr="0047638F" w:rsidRDefault="0047638F" w:rsidP="0047638F">
      <w:pPr>
        <w:pStyle w:val="Header"/>
        <w:tabs>
          <w:tab w:val="clear" w:pos="4680"/>
          <w:tab w:val="clear" w:pos="9360"/>
        </w:tabs>
        <w:rPr>
          <w:rFonts w:cstheme="minorHAnsi"/>
          <w:sz w:val="24"/>
          <w:szCs w:val="24"/>
        </w:rPr>
      </w:pPr>
      <w:r w:rsidRPr="0047638F">
        <w:rPr>
          <w:rFonts w:cstheme="minorHAnsi"/>
          <w:b/>
          <w:sz w:val="24"/>
          <w:szCs w:val="24"/>
        </w:rPr>
        <w:t>Research involving human subjects</w:t>
      </w:r>
      <w:r w:rsidRPr="0047638F">
        <w:rPr>
          <w:rFonts w:cstheme="minorHAnsi"/>
          <w:sz w:val="24"/>
          <w:szCs w:val="24"/>
        </w:rPr>
        <w:t xml:space="preserve"> means a project that meets the definition of research </w:t>
      </w:r>
      <w:r w:rsidRPr="0047638F">
        <w:rPr>
          <w:rFonts w:cstheme="minorHAnsi"/>
          <w:b/>
          <w:sz w:val="24"/>
          <w:szCs w:val="24"/>
        </w:rPr>
        <w:t>and</w:t>
      </w:r>
      <w:r w:rsidRPr="0047638F">
        <w:rPr>
          <w:rFonts w:cstheme="minorHAnsi"/>
          <w:sz w:val="24"/>
          <w:szCs w:val="24"/>
        </w:rPr>
        <w:t xml:space="preserve"> human subjects as defined in this policy.</w:t>
      </w:r>
    </w:p>
    <w:p w14:paraId="43AEE3D0" w14:textId="77777777" w:rsidR="0047638F" w:rsidRPr="0047638F" w:rsidRDefault="0047638F" w:rsidP="0047638F">
      <w:pPr>
        <w:pStyle w:val="Header"/>
        <w:tabs>
          <w:tab w:val="clear" w:pos="4680"/>
          <w:tab w:val="clear" w:pos="9360"/>
        </w:tabs>
        <w:rPr>
          <w:rFonts w:cstheme="minorHAnsi"/>
          <w:b/>
          <w:sz w:val="24"/>
          <w:szCs w:val="24"/>
          <w:highlight w:val="yellow"/>
        </w:rPr>
      </w:pPr>
    </w:p>
    <w:p w14:paraId="276672BD" w14:textId="77777777" w:rsidR="0047638F" w:rsidRPr="0047638F" w:rsidRDefault="0047638F" w:rsidP="0047638F">
      <w:pPr>
        <w:pStyle w:val="Header"/>
        <w:tabs>
          <w:tab w:val="clear" w:pos="4680"/>
          <w:tab w:val="clear" w:pos="9360"/>
        </w:tabs>
        <w:rPr>
          <w:rFonts w:cstheme="minorHAnsi"/>
          <w:sz w:val="24"/>
          <w:szCs w:val="24"/>
        </w:rPr>
      </w:pPr>
      <w:r w:rsidRPr="0047638F">
        <w:rPr>
          <w:rFonts w:cstheme="minorHAnsi"/>
          <w:b/>
          <w:sz w:val="24"/>
          <w:szCs w:val="24"/>
        </w:rPr>
        <w:t>Retrospective medical record review</w:t>
      </w:r>
      <w:r w:rsidRPr="0047638F">
        <w:rPr>
          <w:rFonts w:cstheme="minorHAnsi"/>
          <w:sz w:val="24"/>
          <w:szCs w:val="24"/>
        </w:rPr>
        <w:t xml:space="preserve"> means a review of data in the medical record where all data to be reviewed are already in existence at the time when the IRB application is submitted for initial review.</w:t>
      </w:r>
    </w:p>
    <w:p w14:paraId="204C7DC6" w14:textId="77777777" w:rsidR="0047638F" w:rsidRPr="0047638F" w:rsidRDefault="0047638F" w:rsidP="0047638F">
      <w:pPr>
        <w:pStyle w:val="Header"/>
        <w:tabs>
          <w:tab w:val="clear" w:pos="4680"/>
          <w:tab w:val="clear" w:pos="9360"/>
        </w:tabs>
        <w:rPr>
          <w:rFonts w:cstheme="minorHAnsi"/>
          <w:sz w:val="24"/>
          <w:szCs w:val="24"/>
        </w:rPr>
      </w:pPr>
    </w:p>
    <w:p w14:paraId="3181E8DA" w14:textId="77777777" w:rsidR="0047638F" w:rsidRPr="0047638F" w:rsidRDefault="0047638F" w:rsidP="0047638F">
      <w:pPr>
        <w:pStyle w:val="Header"/>
        <w:tabs>
          <w:tab w:val="clear" w:pos="4680"/>
          <w:tab w:val="clear" w:pos="9360"/>
        </w:tabs>
        <w:rPr>
          <w:rFonts w:cstheme="minorHAnsi"/>
          <w:sz w:val="24"/>
          <w:szCs w:val="24"/>
        </w:rPr>
      </w:pPr>
      <w:r w:rsidRPr="0047638F">
        <w:rPr>
          <w:rFonts w:cstheme="minorHAnsi"/>
          <w:b/>
          <w:sz w:val="24"/>
          <w:szCs w:val="24"/>
        </w:rPr>
        <w:t xml:space="preserve">Secondary Research Use </w:t>
      </w:r>
      <w:r w:rsidRPr="0047638F">
        <w:rPr>
          <w:rFonts w:cstheme="minorHAnsi"/>
          <w:sz w:val="24"/>
          <w:szCs w:val="24"/>
        </w:rPr>
        <w:t xml:space="preserve">means the research use of identifiable private information or identifiable biospecimens that were or will be collected for some other primary or initial activity, such as clinical care of patients or prior research studies.   </w:t>
      </w:r>
    </w:p>
    <w:p w14:paraId="5FCEB774" w14:textId="77777777" w:rsidR="0047638F" w:rsidRPr="0047638F" w:rsidRDefault="0047638F" w:rsidP="0047638F">
      <w:pPr>
        <w:pStyle w:val="Header"/>
        <w:tabs>
          <w:tab w:val="clear" w:pos="4680"/>
          <w:tab w:val="clear" w:pos="9360"/>
        </w:tabs>
        <w:rPr>
          <w:rFonts w:cstheme="minorHAnsi"/>
          <w:b/>
          <w:sz w:val="24"/>
          <w:szCs w:val="24"/>
        </w:rPr>
      </w:pPr>
    </w:p>
    <w:p w14:paraId="1860C931" w14:textId="77777777" w:rsidR="0047638F" w:rsidRPr="0047638F" w:rsidRDefault="0047638F" w:rsidP="0047638F">
      <w:pPr>
        <w:spacing w:after="0" w:line="240" w:lineRule="auto"/>
        <w:rPr>
          <w:rFonts w:cstheme="minorHAnsi"/>
          <w:sz w:val="24"/>
          <w:szCs w:val="24"/>
        </w:rPr>
      </w:pPr>
      <w:r w:rsidRPr="0047638F">
        <w:rPr>
          <w:rFonts w:cstheme="minorHAnsi"/>
          <w:sz w:val="24"/>
          <w:szCs w:val="24"/>
        </w:rPr>
        <w:t>A</w:t>
      </w:r>
      <w:r w:rsidRPr="0047638F">
        <w:rPr>
          <w:rFonts w:cstheme="minorHAnsi"/>
          <w:b/>
          <w:sz w:val="24"/>
          <w:szCs w:val="24"/>
        </w:rPr>
        <w:t xml:space="preserve"> systematic investigation</w:t>
      </w:r>
      <w:r w:rsidRPr="0047638F">
        <w:rPr>
          <w:rFonts w:cstheme="minorHAnsi"/>
          <w:sz w:val="24"/>
          <w:szCs w:val="24"/>
        </w:rPr>
        <w:t xml:space="preserve"> typically includes the following elements:</w:t>
      </w:r>
    </w:p>
    <w:p w14:paraId="54130D6E" w14:textId="77777777" w:rsidR="0047638F" w:rsidRPr="0047638F" w:rsidRDefault="0047638F" w:rsidP="0047638F">
      <w:pPr>
        <w:pStyle w:val="ListParagraph"/>
        <w:widowControl w:val="0"/>
        <w:numPr>
          <w:ilvl w:val="1"/>
          <w:numId w:val="30"/>
        </w:numPr>
        <w:tabs>
          <w:tab w:val="clear" w:pos="2160"/>
        </w:tabs>
        <w:autoSpaceDE w:val="0"/>
        <w:autoSpaceDN w:val="0"/>
        <w:adjustRightInd w:val="0"/>
        <w:ind w:left="360" w:hanging="360"/>
        <w:rPr>
          <w:rFonts w:cstheme="minorHAnsi"/>
          <w:sz w:val="24"/>
          <w:szCs w:val="24"/>
        </w:rPr>
      </w:pPr>
      <w:r w:rsidRPr="0047638F">
        <w:rPr>
          <w:rFonts w:cstheme="minorHAnsi"/>
          <w:sz w:val="24"/>
          <w:szCs w:val="24"/>
        </w:rPr>
        <w:t>An attempt is being made to answer a specific question (in some cases, this would involve formulation of a hypothesis);</w:t>
      </w:r>
    </w:p>
    <w:p w14:paraId="79F70A60" w14:textId="77777777" w:rsidR="0047638F" w:rsidRPr="0047638F" w:rsidRDefault="0047638F" w:rsidP="0047638F">
      <w:pPr>
        <w:pStyle w:val="ListParagraph"/>
        <w:widowControl w:val="0"/>
        <w:numPr>
          <w:ilvl w:val="1"/>
          <w:numId w:val="30"/>
        </w:numPr>
        <w:tabs>
          <w:tab w:val="clear" w:pos="2160"/>
        </w:tabs>
        <w:autoSpaceDE w:val="0"/>
        <w:autoSpaceDN w:val="0"/>
        <w:adjustRightInd w:val="0"/>
        <w:ind w:left="360" w:hanging="360"/>
        <w:rPr>
          <w:rFonts w:cstheme="minorHAnsi"/>
          <w:sz w:val="24"/>
          <w:szCs w:val="24"/>
        </w:rPr>
      </w:pPr>
      <w:r w:rsidRPr="0047638F">
        <w:rPr>
          <w:rFonts w:cstheme="minorHAnsi"/>
          <w:sz w:val="24"/>
          <w:szCs w:val="24"/>
        </w:rPr>
        <w:t>Data or information is collected in an organized and consistent way using a recognized method;</w:t>
      </w:r>
    </w:p>
    <w:p w14:paraId="155607C7" w14:textId="77777777" w:rsidR="0047638F" w:rsidRPr="0047638F" w:rsidRDefault="0047638F" w:rsidP="0047638F">
      <w:pPr>
        <w:pStyle w:val="ListParagraph"/>
        <w:widowControl w:val="0"/>
        <w:numPr>
          <w:ilvl w:val="1"/>
          <w:numId w:val="30"/>
        </w:numPr>
        <w:tabs>
          <w:tab w:val="clear" w:pos="2160"/>
        </w:tabs>
        <w:autoSpaceDE w:val="0"/>
        <w:autoSpaceDN w:val="0"/>
        <w:adjustRightInd w:val="0"/>
        <w:ind w:left="360" w:hanging="360"/>
        <w:rPr>
          <w:rFonts w:cstheme="minorHAnsi"/>
          <w:sz w:val="24"/>
          <w:szCs w:val="24"/>
        </w:rPr>
      </w:pPr>
      <w:r w:rsidRPr="0047638F">
        <w:rPr>
          <w:rFonts w:cstheme="minorHAnsi"/>
          <w:sz w:val="24"/>
          <w:szCs w:val="24"/>
        </w:rPr>
        <w:t>Data or information is analyzed in some way, involving recognized quantitative or qualitative data analysis methods; and</w:t>
      </w:r>
    </w:p>
    <w:p w14:paraId="20751D5C" w14:textId="77777777" w:rsidR="0047638F" w:rsidRPr="0047638F" w:rsidRDefault="0047638F" w:rsidP="0047638F">
      <w:pPr>
        <w:pStyle w:val="ListParagraph"/>
        <w:widowControl w:val="0"/>
        <w:numPr>
          <w:ilvl w:val="1"/>
          <w:numId w:val="30"/>
        </w:numPr>
        <w:tabs>
          <w:tab w:val="clear" w:pos="2160"/>
        </w:tabs>
        <w:autoSpaceDE w:val="0"/>
        <w:autoSpaceDN w:val="0"/>
        <w:adjustRightInd w:val="0"/>
        <w:ind w:left="360" w:hanging="360"/>
        <w:rPr>
          <w:rFonts w:cstheme="minorHAnsi"/>
          <w:sz w:val="24"/>
          <w:szCs w:val="24"/>
        </w:rPr>
      </w:pPr>
      <w:r w:rsidRPr="0047638F">
        <w:rPr>
          <w:rFonts w:cstheme="minorHAnsi"/>
          <w:sz w:val="24"/>
          <w:szCs w:val="24"/>
        </w:rPr>
        <w:t>Conclusions are drawn from the results of the analysis.</w:t>
      </w:r>
    </w:p>
    <w:p w14:paraId="47F41183" w14:textId="77777777" w:rsidR="0047638F" w:rsidRPr="0047638F" w:rsidRDefault="0047638F" w:rsidP="0047638F">
      <w:pPr>
        <w:pStyle w:val="Header"/>
        <w:tabs>
          <w:tab w:val="clear" w:pos="4680"/>
          <w:tab w:val="clear" w:pos="9360"/>
        </w:tabs>
        <w:rPr>
          <w:rFonts w:cstheme="minorHAnsi"/>
          <w:sz w:val="24"/>
          <w:szCs w:val="24"/>
        </w:rPr>
      </w:pPr>
    </w:p>
    <w:p w14:paraId="7950A62E" w14:textId="77777777" w:rsidR="0047638F" w:rsidRPr="0047638F" w:rsidRDefault="0047638F" w:rsidP="0047638F">
      <w:pPr>
        <w:autoSpaceDE w:val="0"/>
        <w:autoSpaceDN w:val="0"/>
        <w:adjustRightInd w:val="0"/>
        <w:spacing w:after="0" w:line="240" w:lineRule="auto"/>
        <w:rPr>
          <w:rFonts w:cstheme="minorHAnsi"/>
          <w:sz w:val="24"/>
          <w:szCs w:val="24"/>
        </w:rPr>
      </w:pPr>
      <w:r w:rsidRPr="0047638F">
        <w:rPr>
          <w:rFonts w:cstheme="minorHAnsi"/>
          <w:b/>
          <w:sz w:val="24"/>
          <w:szCs w:val="24"/>
        </w:rPr>
        <w:t>Test article</w:t>
      </w:r>
      <w:r w:rsidRPr="0047638F">
        <w:rPr>
          <w:rFonts w:cstheme="minorHAnsi"/>
          <w:sz w:val="24"/>
          <w:szCs w:val="24"/>
        </w:rPr>
        <w:t xml:space="preserve"> means</w:t>
      </w:r>
      <w:r w:rsidRPr="0047638F">
        <w:rPr>
          <w:rFonts w:cstheme="minorHAnsi"/>
          <w:b/>
          <w:sz w:val="24"/>
          <w:szCs w:val="24"/>
        </w:rPr>
        <w:t xml:space="preserve"> </w:t>
      </w:r>
      <w:r w:rsidRPr="0047638F">
        <w:rPr>
          <w:rFonts w:cstheme="minorHAnsi"/>
          <w:sz w:val="24"/>
          <w:szCs w:val="24"/>
        </w:rPr>
        <w:t xml:space="preserve">any drug (including a biological product for human use), medical device for human use, human food additive, color additive, electronic product, or any other article subject to FDA regulation.                                                                                                                                              </w:t>
      </w:r>
    </w:p>
    <w:p w14:paraId="26041984" w14:textId="77777777" w:rsidR="0047638F" w:rsidRDefault="0047638F" w:rsidP="0047638F">
      <w:pPr>
        <w:pStyle w:val="Header"/>
        <w:ind w:left="720"/>
        <w:rPr>
          <w:b/>
          <w:sz w:val="24"/>
        </w:rPr>
      </w:pPr>
    </w:p>
    <w:p w14:paraId="46F9345A" w14:textId="6F531344" w:rsidR="00EE66B8" w:rsidRPr="00613394" w:rsidRDefault="0047638F" w:rsidP="00613394">
      <w:pPr>
        <w:spacing w:after="0" w:line="240" w:lineRule="auto"/>
        <w:ind w:left="360" w:hanging="360"/>
        <w:rPr>
          <w:rFonts w:cstheme="minorHAnsi"/>
          <w:sz w:val="24"/>
          <w:szCs w:val="24"/>
        </w:rPr>
      </w:pPr>
      <w:r>
        <w:rPr>
          <w:b/>
          <w:color w:val="1F4E79" w:themeColor="accent1" w:themeShade="80"/>
          <w:sz w:val="28"/>
          <w:szCs w:val="28"/>
        </w:rPr>
        <w:t>V.</w:t>
      </w:r>
      <w:r>
        <w:rPr>
          <w:b/>
          <w:color w:val="1F4E79" w:themeColor="accent1" w:themeShade="80"/>
          <w:sz w:val="28"/>
          <w:szCs w:val="28"/>
        </w:rPr>
        <w:tab/>
        <w:t>PROCEDURES</w:t>
      </w:r>
      <w:r w:rsidR="00EE66B8" w:rsidRPr="00613394">
        <w:rPr>
          <w:rFonts w:cstheme="minorHAnsi"/>
          <w:sz w:val="24"/>
          <w:szCs w:val="24"/>
        </w:rPr>
        <w:t xml:space="preserve"> </w:t>
      </w:r>
    </w:p>
    <w:p w14:paraId="669C066C" w14:textId="77777777" w:rsidR="0047638F" w:rsidRPr="0047638F" w:rsidRDefault="0047638F" w:rsidP="0047638F">
      <w:pPr>
        <w:pStyle w:val="Header"/>
        <w:tabs>
          <w:tab w:val="clear" w:pos="4680"/>
          <w:tab w:val="clear" w:pos="9360"/>
        </w:tabs>
        <w:rPr>
          <w:rFonts w:cstheme="minorHAnsi"/>
          <w:b/>
          <w:sz w:val="24"/>
          <w:szCs w:val="24"/>
        </w:rPr>
      </w:pPr>
    </w:p>
    <w:p w14:paraId="0AAF5A25" w14:textId="77777777" w:rsidR="0047638F" w:rsidRPr="0047638F" w:rsidRDefault="0047638F" w:rsidP="0047638F">
      <w:pPr>
        <w:pStyle w:val="ListParagraph"/>
        <w:numPr>
          <w:ilvl w:val="0"/>
          <w:numId w:val="37"/>
        </w:numPr>
        <w:ind w:left="360"/>
        <w:rPr>
          <w:rFonts w:cstheme="minorHAnsi"/>
          <w:sz w:val="24"/>
          <w:szCs w:val="24"/>
        </w:rPr>
      </w:pPr>
      <w:r w:rsidRPr="0047638F">
        <w:rPr>
          <w:rFonts w:cstheme="minorHAnsi"/>
          <w:sz w:val="24"/>
          <w:szCs w:val="24"/>
        </w:rPr>
        <w:t xml:space="preserve">The UTHSC IRB uses the following criteria to determine that a project constitutes human subjects research </w:t>
      </w:r>
      <w:r w:rsidRPr="0047638F">
        <w:rPr>
          <w:rFonts w:cstheme="minorHAnsi"/>
          <w:sz w:val="24"/>
          <w:szCs w:val="24"/>
          <w:u w:val="single"/>
        </w:rPr>
        <w:t>and</w:t>
      </w:r>
      <w:r w:rsidRPr="0047638F">
        <w:rPr>
          <w:rFonts w:cstheme="minorHAnsi"/>
          <w:sz w:val="24"/>
          <w:szCs w:val="24"/>
        </w:rPr>
        <w:t xml:space="preserve"> that individuals are engaged in research that falls under the purview of the IRB:</w:t>
      </w:r>
    </w:p>
    <w:p w14:paraId="0421E90E" w14:textId="77777777" w:rsidR="0047638F" w:rsidRPr="0047638F" w:rsidRDefault="0047638F" w:rsidP="0047638F">
      <w:pPr>
        <w:pStyle w:val="ListParagraph"/>
        <w:numPr>
          <w:ilvl w:val="4"/>
          <w:numId w:val="34"/>
        </w:numPr>
        <w:tabs>
          <w:tab w:val="clear" w:pos="3600"/>
        </w:tabs>
        <w:ind w:left="720"/>
        <w:rPr>
          <w:rFonts w:cstheme="minorHAnsi"/>
          <w:sz w:val="24"/>
          <w:szCs w:val="24"/>
        </w:rPr>
      </w:pPr>
      <w:r w:rsidRPr="0047638F">
        <w:rPr>
          <w:rFonts w:cstheme="minorHAnsi"/>
          <w:sz w:val="24"/>
          <w:szCs w:val="24"/>
        </w:rPr>
        <w:t xml:space="preserve">The project involves “research” </w:t>
      </w:r>
      <w:r w:rsidRPr="0047638F">
        <w:rPr>
          <w:rFonts w:cstheme="minorHAnsi"/>
          <w:sz w:val="24"/>
          <w:szCs w:val="24"/>
          <w:u w:val="single"/>
        </w:rPr>
        <w:t>and</w:t>
      </w:r>
      <w:r w:rsidRPr="0047638F">
        <w:rPr>
          <w:rFonts w:cstheme="minorHAnsi"/>
          <w:sz w:val="24"/>
          <w:szCs w:val="24"/>
        </w:rPr>
        <w:t xml:space="preserve"> “human subjects” as those terms and their key components are defined in HHS regulations at 45 CFR 46.102(e) and (l) (46.102(d) and (f) in the previous Common Rule), and section IV of this SOP.</w:t>
      </w:r>
    </w:p>
    <w:p w14:paraId="7021A774" w14:textId="77777777" w:rsidR="0047638F" w:rsidRDefault="0047638F" w:rsidP="0047638F">
      <w:pPr>
        <w:spacing w:after="0" w:line="240" w:lineRule="auto"/>
        <w:ind w:hanging="360"/>
        <w:rPr>
          <w:rFonts w:cstheme="minorHAnsi"/>
          <w:b/>
          <w:sz w:val="24"/>
          <w:szCs w:val="24"/>
        </w:rPr>
      </w:pPr>
    </w:p>
    <w:p w14:paraId="23F666A0" w14:textId="5621F6DD" w:rsidR="0047638F" w:rsidRDefault="0047638F" w:rsidP="0047638F">
      <w:pPr>
        <w:spacing w:after="0" w:line="240" w:lineRule="auto"/>
        <w:ind w:firstLine="720"/>
        <w:rPr>
          <w:rFonts w:cstheme="minorHAnsi"/>
          <w:b/>
          <w:sz w:val="24"/>
          <w:szCs w:val="24"/>
        </w:rPr>
      </w:pPr>
      <w:r w:rsidRPr="0047638F">
        <w:rPr>
          <w:rFonts w:cstheme="minorHAnsi"/>
          <w:b/>
          <w:sz w:val="24"/>
          <w:szCs w:val="24"/>
        </w:rPr>
        <w:t>OR</w:t>
      </w:r>
    </w:p>
    <w:p w14:paraId="70086183" w14:textId="77777777" w:rsidR="0047638F" w:rsidRPr="0047638F" w:rsidRDefault="0047638F" w:rsidP="0047638F">
      <w:pPr>
        <w:spacing w:after="0" w:line="240" w:lineRule="auto"/>
        <w:ind w:firstLine="720"/>
        <w:rPr>
          <w:rFonts w:cstheme="minorHAnsi"/>
          <w:bCs/>
          <w:sz w:val="24"/>
          <w:szCs w:val="24"/>
        </w:rPr>
      </w:pPr>
    </w:p>
    <w:p w14:paraId="3ECBC5DE" w14:textId="77777777" w:rsidR="0047638F" w:rsidRPr="0047638F" w:rsidRDefault="0047638F" w:rsidP="0047638F">
      <w:pPr>
        <w:pStyle w:val="ListParagraph"/>
        <w:numPr>
          <w:ilvl w:val="0"/>
          <w:numId w:val="31"/>
        </w:numPr>
        <w:rPr>
          <w:rFonts w:cstheme="minorHAnsi"/>
          <w:sz w:val="24"/>
          <w:szCs w:val="24"/>
        </w:rPr>
      </w:pPr>
      <w:r w:rsidRPr="0047638F">
        <w:rPr>
          <w:rFonts w:cstheme="minorHAnsi"/>
          <w:sz w:val="24"/>
          <w:szCs w:val="24"/>
        </w:rPr>
        <w:t xml:space="preserve">The project constitutes a “clinical investigation” </w:t>
      </w:r>
      <w:r w:rsidRPr="0047638F">
        <w:rPr>
          <w:rFonts w:cstheme="minorHAnsi"/>
          <w:sz w:val="24"/>
          <w:szCs w:val="24"/>
          <w:u w:val="single"/>
        </w:rPr>
        <w:t>and</w:t>
      </w:r>
      <w:r w:rsidRPr="0047638F">
        <w:rPr>
          <w:rFonts w:cstheme="minorHAnsi"/>
          <w:sz w:val="24"/>
          <w:szCs w:val="24"/>
        </w:rPr>
        <w:t xml:space="preserve"> involves “human subjects” as defined in FDA regulations at 21 CFR 56.102(c) and (e), or involves “subjects” as defined in FDA regulations at 21 CFR 812.3(p).</w:t>
      </w:r>
    </w:p>
    <w:p w14:paraId="2A72A2E7" w14:textId="77777777" w:rsidR="0047638F" w:rsidRPr="0047638F" w:rsidRDefault="0047638F" w:rsidP="0047638F">
      <w:pPr>
        <w:spacing w:after="0" w:line="240" w:lineRule="auto"/>
        <w:ind w:hanging="630"/>
        <w:rPr>
          <w:rFonts w:cstheme="minorHAnsi"/>
          <w:sz w:val="24"/>
          <w:szCs w:val="24"/>
        </w:rPr>
      </w:pPr>
    </w:p>
    <w:p w14:paraId="0AE035D0" w14:textId="77777777" w:rsidR="0047638F" w:rsidRPr="0047638F" w:rsidRDefault="0047638F" w:rsidP="0047638F">
      <w:pPr>
        <w:pStyle w:val="Header"/>
        <w:numPr>
          <w:ilvl w:val="0"/>
          <w:numId w:val="40"/>
        </w:numPr>
        <w:tabs>
          <w:tab w:val="clear" w:pos="4680"/>
          <w:tab w:val="clear" w:pos="9360"/>
        </w:tabs>
        <w:ind w:left="360"/>
        <w:rPr>
          <w:rFonts w:cstheme="minorHAnsi"/>
          <w:sz w:val="24"/>
          <w:szCs w:val="24"/>
        </w:rPr>
      </w:pPr>
      <w:r w:rsidRPr="0047638F">
        <w:rPr>
          <w:rFonts w:cstheme="minorHAnsi"/>
          <w:sz w:val="24"/>
          <w:szCs w:val="24"/>
        </w:rPr>
        <w:t>Projects that are not regulated by the FDA qualify for NHSR status and the absence of further IRB oversight if one of the following conditions is satisfied:</w:t>
      </w:r>
    </w:p>
    <w:p w14:paraId="567D2163" w14:textId="77777777" w:rsidR="0047638F" w:rsidRPr="0047638F" w:rsidRDefault="0047638F" w:rsidP="0047638F">
      <w:pPr>
        <w:pStyle w:val="Header"/>
        <w:numPr>
          <w:ilvl w:val="4"/>
          <w:numId w:val="39"/>
        </w:numPr>
        <w:tabs>
          <w:tab w:val="clear" w:pos="4680"/>
          <w:tab w:val="clear" w:pos="9360"/>
        </w:tabs>
        <w:ind w:left="720"/>
        <w:rPr>
          <w:rFonts w:cstheme="minorHAnsi"/>
          <w:sz w:val="24"/>
          <w:szCs w:val="24"/>
        </w:rPr>
      </w:pPr>
      <w:r w:rsidRPr="0047638F">
        <w:rPr>
          <w:rFonts w:cstheme="minorHAnsi"/>
          <w:sz w:val="24"/>
          <w:szCs w:val="24"/>
        </w:rPr>
        <w:t>The study does not constitute “research” as defined at 45 CFR 46.102(l), (45 CFR 42.102(d) in the previous Common Rule) either because it is not a “systematic investigation” (e.g., a case study) or does not involve an attempt to produce “generalizable knowledge” [e.g., an internal hospital quality assurance (QA) activity].  See the definitions above.  See also SOP: UTHSC IRB Case Studies/Reports.</w:t>
      </w:r>
    </w:p>
    <w:p w14:paraId="1976AEFB" w14:textId="77777777" w:rsidR="0047638F" w:rsidRPr="0047638F" w:rsidRDefault="0047638F" w:rsidP="0047638F">
      <w:pPr>
        <w:pStyle w:val="Header"/>
        <w:numPr>
          <w:ilvl w:val="4"/>
          <w:numId w:val="39"/>
        </w:numPr>
        <w:tabs>
          <w:tab w:val="clear" w:pos="4680"/>
          <w:tab w:val="clear" w:pos="9360"/>
        </w:tabs>
        <w:ind w:left="720"/>
        <w:rPr>
          <w:rFonts w:cstheme="minorHAnsi"/>
          <w:sz w:val="24"/>
          <w:szCs w:val="24"/>
        </w:rPr>
      </w:pPr>
      <w:r w:rsidRPr="0047638F">
        <w:rPr>
          <w:rFonts w:cstheme="minorHAnsi"/>
          <w:sz w:val="24"/>
          <w:szCs w:val="24"/>
        </w:rPr>
        <w:t>The research does not involve “human subjects” as defined at 45 CFR 46.102(e) (45 CFR 46.102(f) in the previous Common Rule).  See the definition above.  See also SOP: UTHSC IRB Use of Anonymized Human Cell Lines, and SOP: UTHSC IRB NHSR Status for the Use of Selected De-identified Specimen and Data Repositories.</w:t>
      </w:r>
    </w:p>
    <w:p w14:paraId="792388C1" w14:textId="77777777" w:rsidR="0047638F" w:rsidRPr="0047638F" w:rsidRDefault="0047638F" w:rsidP="0047638F">
      <w:pPr>
        <w:pStyle w:val="Header"/>
        <w:tabs>
          <w:tab w:val="clear" w:pos="4680"/>
          <w:tab w:val="clear" w:pos="9360"/>
        </w:tabs>
        <w:rPr>
          <w:rFonts w:cstheme="minorHAnsi"/>
          <w:sz w:val="24"/>
          <w:szCs w:val="24"/>
        </w:rPr>
      </w:pPr>
    </w:p>
    <w:p w14:paraId="63424F72" w14:textId="77777777" w:rsidR="0047638F" w:rsidRPr="0047638F" w:rsidRDefault="0047638F" w:rsidP="0047638F">
      <w:pPr>
        <w:pStyle w:val="Header"/>
        <w:numPr>
          <w:ilvl w:val="0"/>
          <w:numId w:val="40"/>
        </w:numPr>
        <w:tabs>
          <w:tab w:val="clear" w:pos="4680"/>
          <w:tab w:val="clear" w:pos="9360"/>
        </w:tabs>
        <w:ind w:left="360"/>
        <w:rPr>
          <w:rFonts w:cstheme="minorHAnsi"/>
          <w:sz w:val="24"/>
          <w:szCs w:val="24"/>
        </w:rPr>
      </w:pPr>
      <w:r w:rsidRPr="0047638F">
        <w:rPr>
          <w:rFonts w:cstheme="minorHAnsi"/>
          <w:sz w:val="24"/>
          <w:szCs w:val="24"/>
        </w:rPr>
        <w:t xml:space="preserve">Unless otherwise required by Department or agency heads, research activities in which the only involvement of human subjects will be in one or more of the following categories will be assigned the status of exempt from further oversight by the UTHSC IRB, </w:t>
      </w:r>
      <w:r w:rsidRPr="0047638F">
        <w:rPr>
          <w:rFonts w:cstheme="minorHAnsi"/>
          <w:sz w:val="24"/>
          <w:szCs w:val="24"/>
          <w:u w:val="single"/>
        </w:rPr>
        <w:t>provided that</w:t>
      </w:r>
      <w:r w:rsidRPr="0047638F">
        <w:rPr>
          <w:rFonts w:cstheme="minorHAnsi"/>
          <w:sz w:val="24"/>
          <w:szCs w:val="24"/>
        </w:rPr>
        <w:t xml:space="preserve"> these research activities only </w:t>
      </w:r>
      <w:r w:rsidRPr="0047638F">
        <w:rPr>
          <w:rFonts w:cstheme="minorHAnsi"/>
          <w:i/>
          <w:sz w:val="24"/>
          <w:szCs w:val="24"/>
        </w:rPr>
        <w:t>incidentally</w:t>
      </w:r>
      <w:r w:rsidRPr="0047638F">
        <w:rPr>
          <w:rFonts w:cstheme="minorHAnsi"/>
          <w:sz w:val="24"/>
          <w:szCs w:val="24"/>
        </w:rPr>
        <w:t xml:space="preserve"> involve prisoners if at all, </w:t>
      </w:r>
      <w:r w:rsidRPr="0047638F">
        <w:rPr>
          <w:rFonts w:cstheme="minorHAnsi"/>
          <w:b/>
          <w:sz w:val="24"/>
          <w:szCs w:val="24"/>
        </w:rPr>
        <w:t>and</w:t>
      </w:r>
      <w:r w:rsidRPr="0047638F">
        <w:rPr>
          <w:rFonts w:cstheme="minorHAnsi"/>
          <w:sz w:val="24"/>
          <w:szCs w:val="24"/>
        </w:rPr>
        <w:t xml:space="preserve"> provided that the research in categories (a)-(e) and (g) – (h) is not regulated by the FDA (Food and Drug Administration). Please note that the following categories are taken from the revised Common Rule (45 CFR 46.104(d)), effective 01/21/2019.  Exempt studies approved prior to 01/21/2019 will be approved under the previous Common Rule categories found at </w:t>
      </w:r>
      <w:hyperlink r:id="rId11" w:history="1">
        <w:r w:rsidRPr="0047638F">
          <w:rPr>
            <w:rStyle w:val="Hyperlink"/>
            <w:rFonts w:cstheme="minorHAnsi"/>
            <w:sz w:val="24"/>
            <w:szCs w:val="24"/>
          </w:rPr>
          <w:t>45 CFR 46.101(b)</w:t>
        </w:r>
      </w:hyperlink>
      <w:r w:rsidRPr="0047638F">
        <w:rPr>
          <w:rFonts w:cstheme="minorHAnsi"/>
          <w:sz w:val="24"/>
          <w:szCs w:val="24"/>
        </w:rPr>
        <w:t>:</w:t>
      </w:r>
    </w:p>
    <w:p w14:paraId="01EEA1A8" w14:textId="77777777" w:rsidR="0047638F" w:rsidRPr="0047638F" w:rsidRDefault="0047638F" w:rsidP="0047638F">
      <w:pPr>
        <w:pStyle w:val="Header"/>
        <w:numPr>
          <w:ilvl w:val="0"/>
          <w:numId w:val="41"/>
        </w:numPr>
        <w:tabs>
          <w:tab w:val="clear" w:pos="4680"/>
          <w:tab w:val="clear" w:pos="9360"/>
        </w:tabs>
        <w:ind w:left="720"/>
        <w:rPr>
          <w:rFonts w:cstheme="minorHAnsi"/>
          <w:sz w:val="24"/>
          <w:szCs w:val="24"/>
        </w:rPr>
      </w:pPr>
      <w:r w:rsidRPr="0047638F">
        <w:rPr>
          <w:rFonts w:cstheme="minorHAnsi"/>
          <w:sz w:val="24"/>
          <w:szCs w:val="24"/>
        </w:rPr>
        <w:t>Research conducted in established or commonly accepted educational settings, involving normal educational practices that are not likely to adversely impact students’ opportunity to learn required educational content or the assessment of educators who provide instruction, such as (</w:t>
      </w:r>
      <w:proofErr w:type="spellStart"/>
      <w:r w:rsidRPr="0047638F">
        <w:rPr>
          <w:rFonts w:cstheme="minorHAnsi"/>
          <w:sz w:val="24"/>
          <w:szCs w:val="24"/>
        </w:rPr>
        <w:t>i</w:t>
      </w:r>
      <w:proofErr w:type="spellEnd"/>
      <w:r w:rsidRPr="0047638F">
        <w:rPr>
          <w:rFonts w:cstheme="minorHAnsi"/>
          <w:sz w:val="24"/>
          <w:szCs w:val="24"/>
        </w:rPr>
        <w:t>) research on regular and special education instructional strategies, or (ii) research on the effectiveness of or the comparison among instructional techniques, curricular, or classroom management methods.</w:t>
      </w:r>
    </w:p>
    <w:p w14:paraId="3ABC6A52" w14:textId="77777777" w:rsidR="0047638F" w:rsidRPr="0047638F" w:rsidRDefault="0047638F" w:rsidP="0047638F">
      <w:pPr>
        <w:pStyle w:val="Header"/>
        <w:numPr>
          <w:ilvl w:val="0"/>
          <w:numId w:val="41"/>
        </w:numPr>
        <w:tabs>
          <w:tab w:val="clear" w:pos="4680"/>
          <w:tab w:val="clear" w:pos="9360"/>
        </w:tabs>
        <w:ind w:left="720"/>
        <w:rPr>
          <w:rFonts w:cstheme="minorHAnsi"/>
          <w:sz w:val="24"/>
          <w:szCs w:val="24"/>
        </w:rPr>
      </w:pPr>
      <w:r w:rsidRPr="0047638F">
        <w:rPr>
          <w:rFonts w:cstheme="minorHAnsi"/>
          <w:sz w:val="24"/>
          <w:szCs w:val="24"/>
        </w:rPr>
        <w:t xml:space="preserve">Research that only includes interactions involving educational tests (cognitive, diagnostic, aptitude, achievement), survey procedures, interview procedures or observation of public behavior (including visual or auditory recording), </w:t>
      </w:r>
      <w:r w:rsidRPr="0047638F">
        <w:rPr>
          <w:rFonts w:cstheme="minorHAnsi"/>
          <w:b/>
          <w:sz w:val="24"/>
          <w:szCs w:val="24"/>
        </w:rPr>
        <w:t>if at least one of the following criteria is met</w:t>
      </w:r>
      <w:r w:rsidRPr="0047638F">
        <w:rPr>
          <w:rFonts w:cstheme="minorHAnsi"/>
          <w:sz w:val="24"/>
          <w:szCs w:val="24"/>
        </w:rPr>
        <w:t>:</w:t>
      </w:r>
    </w:p>
    <w:p w14:paraId="69479FC9" w14:textId="77777777" w:rsidR="0047638F" w:rsidRPr="0047638F" w:rsidRDefault="0047638F" w:rsidP="0047638F">
      <w:pPr>
        <w:pStyle w:val="Header"/>
        <w:numPr>
          <w:ilvl w:val="0"/>
          <w:numId w:val="43"/>
        </w:numPr>
        <w:tabs>
          <w:tab w:val="clear" w:pos="4680"/>
          <w:tab w:val="clear" w:pos="9360"/>
        </w:tabs>
        <w:ind w:left="1080"/>
        <w:rPr>
          <w:rFonts w:cstheme="minorHAnsi"/>
          <w:sz w:val="24"/>
          <w:szCs w:val="24"/>
        </w:rPr>
      </w:pPr>
      <w:r w:rsidRPr="0047638F">
        <w:rPr>
          <w:rFonts w:cstheme="minorHAnsi"/>
          <w:sz w:val="24"/>
          <w:szCs w:val="24"/>
        </w:rPr>
        <w:t xml:space="preserve">information obtained is recorded in such a manner that the identity of the human subjects cannot readily be ascertained, directly or through identifiers linked to the subjects; </w:t>
      </w:r>
    </w:p>
    <w:p w14:paraId="7BC9C43F" w14:textId="77777777" w:rsidR="0047638F" w:rsidRPr="0047638F" w:rsidRDefault="0047638F" w:rsidP="0047638F">
      <w:pPr>
        <w:pStyle w:val="Header"/>
        <w:tabs>
          <w:tab w:val="clear" w:pos="4680"/>
          <w:tab w:val="clear" w:pos="9360"/>
        </w:tabs>
        <w:ind w:firstLine="720"/>
        <w:rPr>
          <w:rFonts w:cstheme="minorHAnsi"/>
          <w:sz w:val="24"/>
          <w:szCs w:val="24"/>
        </w:rPr>
      </w:pPr>
      <w:r w:rsidRPr="0047638F">
        <w:rPr>
          <w:rFonts w:cstheme="minorHAnsi"/>
          <w:b/>
          <w:sz w:val="24"/>
          <w:szCs w:val="24"/>
        </w:rPr>
        <w:t>OR</w:t>
      </w:r>
      <w:r w:rsidRPr="0047638F">
        <w:rPr>
          <w:rFonts w:cstheme="minorHAnsi"/>
          <w:sz w:val="24"/>
          <w:szCs w:val="24"/>
        </w:rPr>
        <w:t xml:space="preserve"> </w:t>
      </w:r>
    </w:p>
    <w:p w14:paraId="067AAA1D" w14:textId="77777777" w:rsidR="0047638F" w:rsidRPr="0047638F" w:rsidRDefault="0047638F" w:rsidP="0047638F">
      <w:pPr>
        <w:pStyle w:val="Header"/>
        <w:numPr>
          <w:ilvl w:val="0"/>
          <w:numId w:val="43"/>
        </w:numPr>
        <w:tabs>
          <w:tab w:val="clear" w:pos="4680"/>
          <w:tab w:val="clear" w:pos="9360"/>
        </w:tabs>
        <w:ind w:left="1080"/>
        <w:rPr>
          <w:rFonts w:cstheme="minorHAnsi"/>
          <w:sz w:val="24"/>
          <w:szCs w:val="24"/>
        </w:rPr>
      </w:pPr>
      <w:r w:rsidRPr="0047638F">
        <w:rPr>
          <w:rFonts w:cstheme="minorHAnsi"/>
          <w:sz w:val="24"/>
          <w:szCs w:val="24"/>
        </w:rPr>
        <w:t>any disclosure of the human subjects’ responses outside the research would not reasonably place the subjects at risk of civil or criminal liability, or be damaging to the subjects’ financial standing, employability, educational advancement or reputation.</w:t>
      </w:r>
    </w:p>
    <w:p w14:paraId="2ADCCC84" w14:textId="77777777" w:rsidR="0047638F" w:rsidRPr="0047638F" w:rsidRDefault="0047638F" w:rsidP="0047638F">
      <w:pPr>
        <w:pStyle w:val="Header"/>
        <w:tabs>
          <w:tab w:val="clear" w:pos="4680"/>
          <w:tab w:val="clear" w:pos="9360"/>
        </w:tabs>
        <w:ind w:firstLine="720"/>
        <w:rPr>
          <w:rFonts w:cstheme="minorHAnsi"/>
          <w:b/>
          <w:sz w:val="24"/>
          <w:szCs w:val="24"/>
        </w:rPr>
      </w:pPr>
      <w:r w:rsidRPr="0047638F">
        <w:rPr>
          <w:rFonts w:cstheme="minorHAnsi"/>
          <w:b/>
          <w:sz w:val="24"/>
          <w:szCs w:val="24"/>
        </w:rPr>
        <w:t>OR</w:t>
      </w:r>
    </w:p>
    <w:p w14:paraId="739E9D58" w14:textId="77777777" w:rsidR="0047638F" w:rsidRPr="0047638F" w:rsidRDefault="0047638F" w:rsidP="0047638F">
      <w:pPr>
        <w:pStyle w:val="Header"/>
        <w:numPr>
          <w:ilvl w:val="0"/>
          <w:numId w:val="43"/>
        </w:numPr>
        <w:tabs>
          <w:tab w:val="clear" w:pos="4680"/>
          <w:tab w:val="clear" w:pos="9360"/>
        </w:tabs>
        <w:ind w:left="1080"/>
        <w:rPr>
          <w:rFonts w:cstheme="minorHAnsi"/>
          <w:sz w:val="24"/>
          <w:szCs w:val="24"/>
        </w:rPr>
      </w:pPr>
      <w:r w:rsidRPr="0047638F">
        <w:rPr>
          <w:rFonts w:cstheme="minorHAnsi"/>
          <w:sz w:val="24"/>
          <w:szCs w:val="24"/>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14:paraId="27073E6B" w14:textId="77777777" w:rsidR="0047638F" w:rsidRPr="0047638F" w:rsidRDefault="0047638F" w:rsidP="00A551CF">
      <w:pPr>
        <w:pStyle w:val="Header"/>
        <w:tabs>
          <w:tab w:val="clear" w:pos="4680"/>
          <w:tab w:val="clear" w:pos="9360"/>
        </w:tabs>
        <w:ind w:left="720"/>
        <w:rPr>
          <w:rFonts w:cstheme="minorHAnsi"/>
          <w:sz w:val="24"/>
          <w:szCs w:val="24"/>
        </w:rPr>
      </w:pPr>
      <w:r w:rsidRPr="0047638F">
        <w:rPr>
          <w:rFonts w:cstheme="minorHAnsi"/>
          <w:color w:val="262626"/>
          <w:sz w:val="24"/>
          <w:szCs w:val="24"/>
        </w:rPr>
        <w:t xml:space="preserve">(NOTE: </w:t>
      </w:r>
      <w:r w:rsidRPr="0047638F">
        <w:rPr>
          <w:rFonts w:cstheme="minorHAnsi"/>
          <w:sz w:val="24"/>
          <w:szCs w:val="24"/>
        </w:rPr>
        <w:t xml:space="preserve">The exemption described in item </w:t>
      </w:r>
      <w:proofErr w:type="spellStart"/>
      <w:r w:rsidRPr="0047638F">
        <w:rPr>
          <w:rFonts w:cstheme="minorHAnsi"/>
          <w:sz w:val="24"/>
          <w:szCs w:val="24"/>
        </w:rPr>
        <w:t>b.iii</w:t>
      </w:r>
      <w:proofErr w:type="spellEnd"/>
      <w:r w:rsidRPr="0047638F">
        <w:rPr>
          <w:rFonts w:cstheme="minorHAnsi"/>
          <w:sz w:val="24"/>
          <w:szCs w:val="24"/>
        </w:rPr>
        <w:t xml:space="preserve">. above is not applicable to research involving children.   The exemptions described in items </w:t>
      </w:r>
      <w:proofErr w:type="spellStart"/>
      <w:r w:rsidRPr="0047638F">
        <w:rPr>
          <w:rFonts w:cstheme="minorHAnsi"/>
          <w:sz w:val="24"/>
          <w:szCs w:val="24"/>
        </w:rPr>
        <w:t>b.i</w:t>
      </w:r>
      <w:proofErr w:type="spellEnd"/>
      <w:r w:rsidRPr="0047638F">
        <w:rPr>
          <w:rFonts w:cstheme="minorHAnsi"/>
          <w:sz w:val="24"/>
          <w:szCs w:val="24"/>
        </w:rPr>
        <w:t>. and ii. above only apply to research with children if the research  involves educational tests or the observation of public behavior when the investigator(s) do not participate in the activities being observed.)</w:t>
      </w:r>
    </w:p>
    <w:p w14:paraId="5BF255AD" w14:textId="77777777" w:rsidR="0047638F" w:rsidRPr="0047638F" w:rsidRDefault="0047638F" w:rsidP="00A551CF">
      <w:pPr>
        <w:pStyle w:val="Header"/>
        <w:numPr>
          <w:ilvl w:val="0"/>
          <w:numId w:val="41"/>
        </w:numPr>
        <w:tabs>
          <w:tab w:val="clear" w:pos="4680"/>
          <w:tab w:val="clear" w:pos="9360"/>
        </w:tabs>
        <w:ind w:left="720"/>
        <w:rPr>
          <w:rFonts w:cstheme="minorHAnsi"/>
          <w:sz w:val="24"/>
          <w:szCs w:val="24"/>
        </w:rPr>
      </w:pPr>
      <w:r w:rsidRPr="0047638F">
        <w:rPr>
          <w:rFonts w:cstheme="minorHAnsi"/>
          <w:sz w:val="24"/>
          <w:szCs w:val="24"/>
        </w:rPr>
        <w:t xml:space="preserve">Research involving benign behavioral interventions in conjunction with the collection of information from an </w:t>
      </w:r>
      <w:r w:rsidRPr="0047638F">
        <w:rPr>
          <w:rFonts w:cstheme="minorHAnsi"/>
          <w:b/>
          <w:sz w:val="24"/>
          <w:szCs w:val="24"/>
        </w:rPr>
        <w:t>adult subject</w:t>
      </w:r>
      <w:r w:rsidRPr="0047638F">
        <w:rPr>
          <w:rFonts w:cstheme="minorHAnsi"/>
          <w:sz w:val="24"/>
          <w:szCs w:val="24"/>
        </w:rPr>
        <w:t xml:space="preserve"> through verbal or written responses (including data entry) or audiovisual recording if the subject prospectively agrees to the intervention and information collection and at least one of the following criteria is met:</w:t>
      </w:r>
    </w:p>
    <w:p w14:paraId="7ACDC0A2" w14:textId="77777777" w:rsidR="0047638F" w:rsidRPr="0047638F" w:rsidRDefault="0047638F" w:rsidP="00A551CF">
      <w:pPr>
        <w:pStyle w:val="Header"/>
        <w:numPr>
          <w:ilvl w:val="0"/>
          <w:numId w:val="44"/>
        </w:numPr>
        <w:tabs>
          <w:tab w:val="clear" w:pos="4680"/>
          <w:tab w:val="clear" w:pos="9360"/>
        </w:tabs>
        <w:ind w:left="1080"/>
        <w:rPr>
          <w:rFonts w:cstheme="minorHAnsi"/>
          <w:sz w:val="24"/>
          <w:szCs w:val="24"/>
        </w:rPr>
      </w:pPr>
      <w:r w:rsidRPr="0047638F">
        <w:rPr>
          <w:rFonts w:cstheme="minorHAnsi"/>
          <w:sz w:val="24"/>
          <w:szCs w:val="24"/>
        </w:rPr>
        <w:lastRenderedPageBreak/>
        <w:t>The information obtained is recorded by the investigator in such a manner that the identity of the human subjects cannot readily be ascertained, directly or through identifiers linked to the subjects;</w:t>
      </w:r>
    </w:p>
    <w:p w14:paraId="4264118B" w14:textId="77777777" w:rsidR="0047638F" w:rsidRPr="0047638F" w:rsidRDefault="0047638F" w:rsidP="00A551CF">
      <w:pPr>
        <w:pStyle w:val="Header"/>
        <w:numPr>
          <w:ilvl w:val="0"/>
          <w:numId w:val="44"/>
        </w:numPr>
        <w:tabs>
          <w:tab w:val="clear" w:pos="4680"/>
          <w:tab w:val="clear" w:pos="9360"/>
        </w:tabs>
        <w:ind w:left="1080"/>
        <w:rPr>
          <w:rFonts w:cstheme="minorHAnsi"/>
          <w:sz w:val="24"/>
          <w:szCs w:val="24"/>
        </w:rPr>
      </w:pPr>
      <w:r w:rsidRPr="0047638F">
        <w:rPr>
          <w:rFonts w:cstheme="minorHAnsi"/>
          <w:sz w:val="24"/>
          <w:szCs w:val="24"/>
        </w:rPr>
        <w:t>Any disclosure of the human subjects' responses outside the research would not reasonably place the subjects at risk of criminal or civil liability or be damaging to the subjects' financial standing, employability, educational advancement, or reputation; or</w:t>
      </w:r>
    </w:p>
    <w:p w14:paraId="1401E3BB" w14:textId="77777777" w:rsidR="0047638F" w:rsidRPr="0047638F" w:rsidRDefault="0047638F" w:rsidP="00A551CF">
      <w:pPr>
        <w:pStyle w:val="Header"/>
        <w:numPr>
          <w:ilvl w:val="0"/>
          <w:numId w:val="44"/>
        </w:numPr>
        <w:tabs>
          <w:tab w:val="clear" w:pos="4680"/>
          <w:tab w:val="clear" w:pos="9360"/>
        </w:tabs>
        <w:ind w:left="1080"/>
        <w:rPr>
          <w:rFonts w:cstheme="minorHAnsi"/>
          <w:sz w:val="24"/>
          <w:szCs w:val="24"/>
        </w:rPr>
      </w:pPr>
      <w:r w:rsidRPr="0047638F">
        <w:rPr>
          <w:rFonts w:cstheme="minorHAnsi"/>
          <w:sz w:val="24"/>
          <w:szCs w:val="24"/>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p w14:paraId="278A356E" w14:textId="77777777" w:rsidR="0047638F" w:rsidRPr="0047638F" w:rsidRDefault="0047638F" w:rsidP="00A551CF">
      <w:pPr>
        <w:pStyle w:val="Header"/>
        <w:tabs>
          <w:tab w:val="clear" w:pos="4680"/>
          <w:tab w:val="clear" w:pos="9360"/>
        </w:tabs>
        <w:ind w:left="360"/>
        <w:rPr>
          <w:rFonts w:cstheme="minorHAnsi"/>
          <w:sz w:val="24"/>
          <w:szCs w:val="24"/>
        </w:rPr>
      </w:pPr>
      <w:r w:rsidRPr="0047638F">
        <w:rPr>
          <w:rFonts w:cstheme="minorHAnsi"/>
          <w:sz w:val="24"/>
          <w:szCs w:val="24"/>
        </w:rPr>
        <w:t>Benign behavioral interventions are brief in duration, harmless, painless, not physically invasive, not likely to have a significant adverse lasting impact on the subjects, and the investigator has no reason to think the subjects will find the interventions offensive or embarrassing. Provided all such criteria are met, examples of such benign behavioral interventions would include having the subjects play an online game, having them solve puzzles under various noise conditions, or having them decide how to allocate a nominal amount of received cash between themselves and someone else.</w:t>
      </w:r>
    </w:p>
    <w:p w14:paraId="7C309526" w14:textId="77777777" w:rsidR="0047638F" w:rsidRPr="0047638F" w:rsidRDefault="0047638F" w:rsidP="0047638F">
      <w:pPr>
        <w:pStyle w:val="Header"/>
        <w:tabs>
          <w:tab w:val="clear" w:pos="4680"/>
          <w:tab w:val="clear" w:pos="9360"/>
        </w:tabs>
        <w:rPr>
          <w:rFonts w:cstheme="minorHAnsi"/>
          <w:sz w:val="24"/>
          <w:szCs w:val="24"/>
        </w:rPr>
      </w:pPr>
    </w:p>
    <w:p w14:paraId="6ED6CAFD" w14:textId="77777777" w:rsidR="0047638F" w:rsidRPr="0047638F" w:rsidRDefault="0047638F" w:rsidP="00A551CF">
      <w:pPr>
        <w:pStyle w:val="Header"/>
        <w:tabs>
          <w:tab w:val="clear" w:pos="4680"/>
          <w:tab w:val="clear" w:pos="9360"/>
        </w:tabs>
        <w:ind w:left="360"/>
        <w:rPr>
          <w:rFonts w:cstheme="minorHAnsi"/>
          <w:sz w:val="24"/>
          <w:szCs w:val="24"/>
        </w:rPr>
      </w:pPr>
      <w:r w:rsidRPr="0047638F">
        <w:rPr>
          <w:rFonts w:cstheme="minorHAnsi"/>
          <w:sz w:val="24"/>
          <w:szCs w:val="24"/>
        </w:rPr>
        <w:t>If the research involves deceiving the subjects regarding the nature or purposes of the research, this exemption is not applicable unless the subject authorizes the deception through a prospective agreement to participate in research in circumstances in which the subject is informed that he or she will be unaware of or misled regarding the nature or purposes of the research.</w:t>
      </w:r>
    </w:p>
    <w:p w14:paraId="4136333D" w14:textId="77777777" w:rsidR="0047638F" w:rsidRPr="0047638F" w:rsidRDefault="0047638F" w:rsidP="0047638F">
      <w:pPr>
        <w:pStyle w:val="Header"/>
        <w:tabs>
          <w:tab w:val="clear" w:pos="4680"/>
          <w:tab w:val="clear" w:pos="9360"/>
        </w:tabs>
        <w:rPr>
          <w:rFonts w:cstheme="minorHAnsi"/>
          <w:sz w:val="24"/>
          <w:szCs w:val="24"/>
        </w:rPr>
      </w:pPr>
    </w:p>
    <w:p w14:paraId="57587138" w14:textId="77777777" w:rsidR="0047638F" w:rsidRPr="0047638F" w:rsidRDefault="0047638F" w:rsidP="00A551CF">
      <w:pPr>
        <w:pStyle w:val="Header"/>
        <w:numPr>
          <w:ilvl w:val="0"/>
          <w:numId w:val="41"/>
        </w:numPr>
        <w:tabs>
          <w:tab w:val="clear" w:pos="4680"/>
          <w:tab w:val="clear" w:pos="9360"/>
        </w:tabs>
        <w:ind w:left="720"/>
        <w:rPr>
          <w:rFonts w:cstheme="minorHAnsi"/>
          <w:sz w:val="24"/>
          <w:szCs w:val="24"/>
        </w:rPr>
      </w:pPr>
      <w:r w:rsidRPr="0047638F">
        <w:rPr>
          <w:rFonts w:cstheme="minorHAnsi"/>
          <w:sz w:val="24"/>
          <w:szCs w:val="24"/>
        </w:rPr>
        <w:t>Secondary research for which consent is not required: Secondary research uses of identifiable private information or identifiable biospecimens, if at least one of the following criteria is met:</w:t>
      </w:r>
    </w:p>
    <w:p w14:paraId="76FC44D0" w14:textId="77777777" w:rsidR="0047638F" w:rsidRPr="0047638F" w:rsidRDefault="0047638F" w:rsidP="00A551CF">
      <w:pPr>
        <w:pStyle w:val="Header"/>
        <w:numPr>
          <w:ilvl w:val="0"/>
          <w:numId w:val="45"/>
        </w:numPr>
        <w:tabs>
          <w:tab w:val="clear" w:pos="4680"/>
          <w:tab w:val="clear" w:pos="9360"/>
        </w:tabs>
        <w:ind w:left="1080"/>
        <w:rPr>
          <w:rFonts w:cstheme="minorHAnsi"/>
          <w:sz w:val="24"/>
          <w:szCs w:val="24"/>
        </w:rPr>
      </w:pPr>
      <w:r w:rsidRPr="0047638F">
        <w:rPr>
          <w:rFonts w:cstheme="minorHAnsi"/>
          <w:sz w:val="24"/>
          <w:szCs w:val="24"/>
        </w:rPr>
        <w:t>The identifiable private information or identifiable biospecimens are publicly available;</w:t>
      </w:r>
    </w:p>
    <w:p w14:paraId="46E8C6BD" w14:textId="77777777" w:rsidR="0047638F" w:rsidRPr="0047638F" w:rsidRDefault="0047638F" w:rsidP="00A551CF">
      <w:pPr>
        <w:pStyle w:val="Header"/>
        <w:numPr>
          <w:ilvl w:val="0"/>
          <w:numId w:val="45"/>
        </w:numPr>
        <w:tabs>
          <w:tab w:val="clear" w:pos="4680"/>
          <w:tab w:val="clear" w:pos="9360"/>
        </w:tabs>
        <w:ind w:left="1080"/>
        <w:rPr>
          <w:rFonts w:cstheme="minorHAnsi"/>
          <w:sz w:val="24"/>
          <w:szCs w:val="24"/>
        </w:rPr>
      </w:pPr>
      <w:r w:rsidRPr="0047638F">
        <w:rPr>
          <w:rFonts w:cstheme="minorHAnsi"/>
          <w:sz w:val="24"/>
          <w:szCs w:val="24"/>
        </w:rPr>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p>
    <w:p w14:paraId="6B1D1F24" w14:textId="77777777" w:rsidR="0047638F" w:rsidRPr="0047638F" w:rsidRDefault="0047638F" w:rsidP="00A551CF">
      <w:pPr>
        <w:pStyle w:val="Header"/>
        <w:numPr>
          <w:ilvl w:val="0"/>
          <w:numId w:val="45"/>
        </w:numPr>
        <w:tabs>
          <w:tab w:val="clear" w:pos="4680"/>
          <w:tab w:val="clear" w:pos="9360"/>
        </w:tabs>
        <w:ind w:left="1080"/>
        <w:rPr>
          <w:rFonts w:cstheme="minorHAnsi"/>
          <w:sz w:val="24"/>
          <w:szCs w:val="24"/>
        </w:rPr>
      </w:pPr>
      <w:r w:rsidRPr="0047638F">
        <w:rPr>
          <w:rFonts w:cstheme="minorHAnsi"/>
          <w:sz w:val="24"/>
          <w:szCs w:val="24"/>
        </w:rPr>
        <w:t>The research involves only information collection and analysis involving the investigator's use of identifiable health information when that use is regulated under 45 CFR parts 160 and 164, subparts A and E, for the purposes of ``health care operations'' or ``research'' as those terms are defined at 45 CFR 164.501 or for ``public health activities and purposes'' as described under 45 CFR 164.512(b); or</w:t>
      </w:r>
    </w:p>
    <w:p w14:paraId="5740AA27" w14:textId="5CD97DDE" w:rsidR="0047638F" w:rsidRPr="0047638F" w:rsidRDefault="0047638F" w:rsidP="00A551CF">
      <w:pPr>
        <w:pStyle w:val="Header"/>
        <w:numPr>
          <w:ilvl w:val="0"/>
          <w:numId w:val="45"/>
        </w:numPr>
        <w:tabs>
          <w:tab w:val="clear" w:pos="4680"/>
          <w:tab w:val="clear" w:pos="9360"/>
        </w:tabs>
        <w:ind w:left="1080"/>
        <w:rPr>
          <w:rFonts w:cstheme="minorHAnsi"/>
          <w:sz w:val="24"/>
          <w:szCs w:val="24"/>
        </w:rPr>
      </w:pPr>
      <w:r w:rsidRPr="0047638F">
        <w:rPr>
          <w:rFonts w:cstheme="minorHAnsi"/>
          <w:sz w:val="24"/>
          <w:szCs w:val="24"/>
        </w:rPr>
        <w:t>The research is conducted by, or on behalf of, a Federal department or agency using government-generated or government-collected information obtained for non</w:t>
      </w:r>
      <w:r w:rsidR="005C6A4C">
        <w:rPr>
          <w:rFonts w:cstheme="minorHAnsi"/>
          <w:sz w:val="24"/>
          <w:szCs w:val="24"/>
        </w:rPr>
        <w:t>-</w:t>
      </w:r>
      <w:r w:rsidRPr="0047638F">
        <w:rPr>
          <w:rFonts w:cstheme="minorHAnsi"/>
          <w:sz w:val="24"/>
          <w:szCs w:val="24"/>
        </w:rPr>
        <w:t xml:space="preserve">research activities, if the research generates identifiable private information that is or will be maintained on information technology that is subject to and in compliance with section 208(b) of the E-Government Act of 2002, 44 U.S.C. 3501 note, if all of </w:t>
      </w:r>
      <w:r w:rsidRPr="0047638F">
        <w:rPr>
          <w:rFonts w:cstheme="minorHAnsi"/>
          <w:sz w:val="24"/>
          <w:szCs w:val="24"/>
        </w:rPr>
        <w:lastRenderedPageBreak/>
        <w:t>the identifiable private information collected, used, or generated as part of the activity will be maintained in systems of records subject to the Privacy Act of 1974, 5 U.S.C. 552a, and, if applicable, the information used in the research was collected subject to the Paperwork Reduction Act of 1995, 44 U.S.C. 3501 et seq.</w:t>
      </w:r>
    </w:p>
    <w:p w14:paraId="66CC8098" w14:textId="77777777" w:rsidR="0047638F" w:rsidRPr="0047638F" w:rsidRDefault="0047638F" w:rsidP="00A551CF">
      <w:pPr>
        <w:pStyle w:val="Header"/>
        <w:numPr>
          <w:ilvl w:val="0"/>
          <w:numId w:val="41"/>
        </w:numPr>
        <w:tabs>
          <w:tab w:val="clear" w:pos="4680"/>
          <w:tab w:val="clear" w:pos="9360"/>
        </w:tabs>
        <w:ind w:left="720"/>
        <w:rPr>
          <w:rFonts w:cstheme="minorHAnsi"/>
          <w:sz w:val="24"/>
          <w:szCs w:val="24"/>
        </w:rPr>
      </w:pPr>
      <w:r w:rsidRPr="0047638F">
        <w:rPr>
          <w:rFonts w:cstheme="minorHAnsi"/>
          <w:sz w:val="24"/>
          <w:szCs w:val="24"/>
        </w:rPr>
        <w:t xml:space="preserve">Research and demonstration projects, which are conducted or supported by or subject to the approval of the department or agency heads (or the approval of the heads of bureaus or other subordinate agencies that have been delegated authority to conduct the research and demonstration projects), and which are designed to study, evaluate, or otherwise examine: </w:t>
      </w:r>
    </w:p>
    <w:p w14:paraId="4E6E2CAC" w14:textId="77777777" w:rsidR="0047638F" w:rsidRPr="0047638F" w:rsidRDefault="0047638F" w:rsidP="00A551CF">
      <w:pPr>
        <w:pStyle w:val="Header"/>
        <w:numPr>
          <w:ilvl w:val="0"/>
          <w:numId w:val="42"/>
        </w:numPr>
        <w:tabs>
          <w:tab w:val="clear" w:pos="4680"/>
          <w:tab w:val="clear" w:pos="9360"/>
        </w:tabs>
        <w:ind w:left="1080"/>
        <w:rPr>
          <w:rFonts w:cstheme="minorHAnsi"/>
          <w:sz w:val="24"/>
          <w:szCs w:val="24"/>
        </w:rPr>
      </w:pPr>
      <w:r w:rsidRPr="0047638F">
        <w:rPr>
          <w:rFonts w:cstheme="minorHAnsi"/>
          <w:sz w:val="24"/>
          <w:szCs w:val="24"/>
        </w:rPr>
        <w:t>public benefit or service programs;</w:t>
      </w:r>
    </w:p>
    <w:p w14:paraId="73B49A13" w14:textId="77777777" w:rsidR="0047638F" w:rsidRPr="0047638F" w:rsidRDefault="0047638F" w:rsidP="00A551CF">
      <w:pPr>
        <w:pStyle w:val="Header"/>
        <w:numPr>
          <w:ilvl w:val="0"/>
          <w:numId w:val="42"/>
        </w:numPr>
        <w:tabs>
          <w:tab w:val="clear" w:pos="4680"/>
          <w:tab w:val="clear" w:pos="9360"/>
        </w:tabs>
        <w:ind w:left="1080"/>
        <w:rPr>
          <w:rFonts w:cstheme="minorHAnsi"/>
          <w:sz w:val="24"/>
          <w:szCs w:val="24"/>
        </w:rPr>
      </w:pPr>
      <w:r w:rsidRPr="0047638F">
        <w:rPr>
          <w:rFonts w:cstheme="minorHAnsi"/>
          <w:sz w:val="24"/>
          <w:szCs w:val="24"/>
        </w:rPr>
        <w:t xml:space="preserve">procedures for obtaining benefits or services under those programs;                                                </w:t>
      </w:r>
    </w:p>
    <w:p w14:paraId="7287B1B4" w14:textId="77777777" w:rsidR="0047638F" w:rsidRPr="0047638F" w:rsidRDefault="0047638F" w:rsidP="00A551CF">
      <w:pPr>
        <w:pStyle w:val="Header"/>
        <w:numPr>
          <w:ilvl w:val="0"/>
          <w:numId w:val="42"/>
        </w:numPr>
        <w:tabs>
          <w:tab w:val="clear" w:pos="4680"/>
          <w:tab w:val="clear" w:pos="9360"/>
        </w:tabs>
        <w:ind w:left="1080"/>
        <w:rPr>
          <w:rFonts w:cstheme="minorHAnsi"/>
          <w:sz w:val="24"/>
          <w:szCs w:val="24"/>
        </w:rPr>
      </w:pPr>
      <w:r w:rsidRPr="0047638F">
        <w:rPr>
          <w:rFonts w:cstheme="minorHAnsi"/>
          <w:sz w:val="24"/>
          <w:szCs w:val="24"/>
        </w:rPr>
        <w:t xml:space="preserve">possible changes in or alternatives to those programs or procedures; </w:t>
      </w:r>
      <w:r w:rsidRPr="0047638F">
        <w:rPr>
          <w:rFonts w:cstheme="minorHAnsi"/>
          <w:b/>
          <w:sz w:val="24"/>
          <w:szCs w:val="24"/>
        </w:rPr>
        <w:t>or</w:t>
      </w:r>
    </w:p>
    <w:p w14:paraId="5AB92852" w14:textId="77777777" w:rsidR="0047638F" w:rsidRPr="0047638F" w:rsidRDefault="0047638F" w:rsidP="00A551CF">
      <w:pPr>
        <w:pStyle w:val="Header"/>
        <w:numPr>
          <w:ilvl w:val="0"/>
          <w:numId w:val="42"/>
        </w:numPr>
        <w:tabs>
          <w:tab w:val="clear" w:pos="4680"/>
          <w:tab w:val="clear" w:pos="9360"/>
        </w:tabs>
        <w:ind w:left="1080"/>
        <w:rPr>
          <w:rFonts w:cstheme="minorHAnsi"/>
          <w:sz w:val="24"/>
          <w:szCs w:val="24"/>
        </w:rPr>
      </w:pPr>
      <w:r w:rsidRPr="0047638F">
        <w:rPr>
          <w:rFonts w:cstheme="minorHAnsi"/>
          <w:sz w:val="24"/>
          <w:szCs w:val="24"/>
        </w:rPr>
        <w:t>possible changes in methods or levels of payment for benefits or services under those programs.</w:t>
      </w:r>
    </w:p>
    <w:p w14:paraId="0C4CBB37" w14:textId="77777777" w:rsidR="0047638F" w:rsidRPr="0047638F" w:rsidRDefault="0047638F" w:rsidP="0047638F">
      <w:pPr>
        <w:pStyle w:val="Header"/>
        <w:tabs>
          <w:tab w:val="clear" w:pos="4680"/>
          <w:tab w:val="clear" w:pos="9360"/>
        </w:tabs>
        <w:rPr>
          <w:rFonts w:cstheme="minorHAnsi"/>
          <w:sz w:val="24"/>
          <w:szCs w:val="24"/>
        </w:rPr>
      </w:pPr>
    </w:p>
    <w:p w14:paraId="76B6F642" w14:textId="77777777" w:rsidR="0047638F" w:rsidRPr="0047638F" w:rsidRDefault="0047638F" w:rsidP="00A551CF">
      <w:pPr>
        <w:pStyle w:val="Header"/>
        <w:tabs>
          <w:tab w:val="clear" w:pos="4680"/>
          <w:tab w:val="clear" w:pos="9360"/>
        </w:tabs>
        <w:ind w:left="360"/>
        <w:rPr>
          <w:rFonts w:cstheme="minorHAnsi"/>
          <w:sz w:val="24"/>
          <w:szCs w:val="24"/>
        </w:rPr>
      </w:pPr>
      <w:r w:rsidRPr="0047638F">
        <w:rPr>
          <w:rFonts w:cstheme="minorHAnsi"/>
          <w:sz w:val="24"/>
          <w:szCs w:val="24"/>
        </w:rPr>
        <w:t>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as amended.</w:t>
      </w:r>
    </w:p>
    <w:p w14:paraId="6412348A" w14:textId="77777777" w:rsidR="0047638F" w:rsidRPr="0047638F" w:rsidRDefault="0047638F" w:rsidP="00A551CF">
      <w:pPr>
        <w:pStyle w:val="Header"/>
        <w:tabs>
          <w:tab w:val="clear" w:pos="4680"/>
          <w:tab w:val="clear" w:pos="9360"/>
        </w:tabs>
        <w:ind w:left="360"/>
        <w:rPr>
          <w:rFonts w:cstheme="minorHAnsi"/>
          <w:sz w:val="24"/>
          <w:szCs w:val="24"/>
        </w:rPr>
      </w:pPr>
    </w:p>
    <w:p w14:paraId="297687FF" w14:textId="77777777" w:rsidR="0047638F" w:rsidRPr="0047638F" w:rsidRDefault="0047638F" w:rsidP="00A551CF">
      <w:pPr>
        <w:pStyle w:val="Header"/>
        <w:tabs>
          <w:tab w:val="clear" w:pos="4680"/>
          <w:tab w:val="clear" w:pos="9360"/>
        </w:tabs>
        <w:ind w:left="360"/>
        <w:rPr>
          <w:rFonts w:cstheme="minorHAnsi"/>
          <w:sz w:val="24"/>
          <w:szCs w:val="24"/>
        </w:rPr>
      </w:pPr>
      <w:r w:rsidRPr="0047638F">
        <w:rPr>
          <w:rFonts w:cstheme="minorHAnsi"/>
          <w:sz w:val="24"/>
          <w:szCs w:val="24"/>
        </w:rPr>
        <w:t>Each Federal department or agency conducting or supporting the research and demonstration projects must establish, on a publicly accessible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434C10C3" w14:textId="77777777" w:rsidR="0047638F" w:rsidRPr="0047638F" w:rsidRDefault="0047638F" w:rsidP="0047638F">
      <w:pPr>
        <w:pStyle w:val="Header"/>
        <w:tabs>
          <w:tab w:val="clear" w:pos="4680"/>
          <w:tab w:val="clear" w:pos="9360"/>
        </w:tabs>
        <w:rPr>
          <w:rFonts w:cstheme="minorHAnsi"/>
          <w:sz w:val="24"/>
          <w:szCs w:val="24"/>
        </w:rPr>
      </w:pPr>
    </w:p>
    <w:p w14:paraId="582BDB7C" w14:textId="77777777" w:rsidR="0047638F" w:rsidRPr="0047638F" w:rsidRDefault="0047638F" w:rsidP="009C0237">
      <w:pPr>
        <w:pStyle w:val="Header"/>
        <w:numPr>
          <w:ilvl w:val="0"/>
          <w:numId w:val="41"/>
        </w:numPr>
        <w:tabs>
          <w:tab w:val="clear" w:pos="4680"/>
          <w:tab w:val="clear" w:pos="9360"/>
        </w:tabs>
        <w:ind w:left="720"/>
        <w:rPr>
          <w:rFonts w:cstheme="minorHAnsi"/>
          <w:sz w:val="24"/>
          <w:szCs w:val="24"/>
        </w:rPr>
      </w:pPr>
      <w:r w:rsidRPr="0047638F">
        <w:rPr>
          <w:rFonts w:cstheme="minorHAnsi"/>
          <w:sz w:val="24"/>
          <w:szCs w:val="24"/>
        </w:rPr>
        <w:t>Taste and food quality evaluation and consumer acceptance studies, (</w:t>
      </w:r>
      <w:proofErr w:type="spellStart"/>
      <w:r w:rsidRPr="0047638F">
        <w:rPr>
          <w:rFonts w:cstheme="minorHAnsi"/>
          <w:sz w:val="24"/>
          <w:szCs w:val="24"/>
        </w:rPr>
        <w:t>i</w:t>
      </w:r>
      <w:proofErr w:type="spellEnd"/>
      <w:r w:rsidRPr="0047638F">
        <w:rPr>
          <w:rFonts w:cstheme="minorHAnsi"/>
          <w:sz w:val="24"/>
          <w:szCs w:val="24"/>
        </w:rPr>
        <w:t>)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14:paraId="25900B4D" w14:textId="77777777" w:rsidR="0047638F" w:rsidRPr="0047638F" w:rsidRDefault="0047638F" w:rsidP="009C0237">
      <w:pPr>
        <w:pStyle w:val="Header"/>
        <w:numPr>
          <w:ilvl w:val="0"/>
          <w:numId w:val="41"/>
        </w:numPr>
        <w:tabs>
          <w:tab w:val="clear" w:pos="4680"/>
          <w:tab w:val="clear" w:pos="9360"/>
        </w:tabs>
        <w:ind w:left="720"/>
        <w:rPr>
          <w:rFonts w:cstheme="minorHAnsi"/>
          <w:sz w:val="24"/>
          <w:szCs w:val="24"/>
        </w:rPr>
      </w:pPr>
      <w:r w:rsidRPr="0047638F">
        <w:rPr>
          <w:rFonts w:cstheme="minorHAnsi"/>
          <w:sz w:val="24"/>
          <w:szCs w:val="24"/>
        </w:rPr>
        <w:t>Storage or maintenance for secondary research for which broad consent is required: Storage or maintenance of identifiable private information or identifiable biospecimens for potential secondary research use if an IRB conducts a limited IRB review and makes the determinations required by §46.111(a)(8).</w:t>
      </w:r>
    </w:p>
    <w:p w14:paraId="220E47FD" w14:textId="77777777" w:rsidR="0047638F" w:rsidRPr="0047638F" w:rsidRDefault="0047638F" w:rsidP="009C0237">
      <w:pPr>
        <w:pStyle w:val="Header"/>
        <w:numPr>
          <w:ilvl w:val="1"/>
          <w:numId w:val="41"/>
        </w:numPr>
        <w:tabs>
          <w:tab w:val="clear" w:pos="4680"/>
          <w:tab w:val="clear" w:pos="9360"/>
        </w:tabs>
        <w:ind w:left="1170" w:hanging="360"/>
        <w:rPr>
          <w:rFonts w:cstheme="minorHAnsi"/>
          <w:sz w:val="24"/>
          <w:szCs w:val="24"/>
        </w:rPr>
      </w:pPr>
      <w:r w:rsidRPr="0047638F">
        <w:rPr>
          <w:rFonts w:cstheme="minorHAnsi"/>
          <w:sz w:val="24"/>
          <w:szCs w:val="24"/>
        </w:rPr>
        <w:t xml:space="preserve">Please note that the principal investigator who will request this exemption for a federally funded study must first ask the federal funding agency whether he/she should track broad consent refusals and if so, what method for tracking (and long-term maintenance of the list of names of persons who refused) should be used by the principal investigator and/or the institutions in which the study will be performed.  The letter or email from the federal funding agency’s representative </w:t>
      </w:r>
      <w:r w:rsidRPr="0047638F">
        <w:rPr>
          <w:rFonts w:cstheme="minorHAnsi"/>
          <w:sz w:val="24"/>
          <w:szCs w:val="24"/>
        </w:rPr>
        <w:lastRenderedPageBreak/>
        <w:t>that includes the answers to these questions must be submitted to the UTHSC IRB with the application for exemption 8.</w:t>
      </w:r>
    </w:p>
    <w:p w14:paraId="18EC8589" w14:textId="77777777" w:rsidR="0047638F" w:rsidRPr="0047638F" w:rsidRDefault="0047638F" w:rsidP="009C0237">
      <w:pPr>
        <w:pStyle w:val="Header"/>
        <w:numPr>
          <w:ilvl w:val="0"/>
          <w:numId w:val="41"/>
        </w:numPr>
        <w:tabs>
          <w:tab w:val="clear" w:pos="4680"/>
          <w:tab w:val="clear" w:pos="9360"/>
        </w:tabs>
        <w:ind w:left="720"/>
        <w:rPr>
          <w:rFonts w:cstheme="minorHAnsi"/>
          <w:sz w:val="24"/>
          <w:szCs w:val="24"/>
        </w:rPr>
      </w:pPr>
      <w:r w:rsidRPr="0047638F">
        <w:rPr>
          <w:rFonts w:cstheme="minorHAnsi"/>
          <w:sz w:val="24"/>
          <w:szCs w:val="24"/>
        </w:rPr>
        <w:t>Secondary research for which broad consent is required: Research involving the use of identifiable private information or identifiable biospecimens for secondary research use, if the following criteria are met:</w:t>
      </w:r>
    </w:p>
    <w:p w14:paraId="44CB9D54" w14:textId="77777777" w:rsidR="0047638F" w:rsidRPr="0047638F" w:rsidRDefault="0047638F" w:rsidP="009C0237">
      <w:pPr>
        <w:pStyle w:val="Header"/>
        <w:numPr>
          <w:ilvl w:val="0"/>
          <w:numId w:val="46"/>
        </w:numPr>
        <w:tabs>
          <w:tab w:val="clear" w:pos="4680"/>
          <w:tab w:val="clear" w:pos="9360"/>
        </w:tabs>
        <w:ind w:left="1080"/>
        <w:rPr>
          <w:rFonts w:cstheme="minorHAnsi"/>
          <w:sz w:val="24"/>
          <w:szCs w:val="24"/>
        </w:rPr>
      </w:pPr>
      <w:r w:rsidRPr="0047638F">
        <w:rPr>
          <w:rFonts w:cstheme="minorHAnsi"/>
          <w:sz w:val="24"/>
          <w:szCs w:val="24"/>
        </w:rPr>
        <w:t>Broad consent for the storage, maintenance, and secondary research use of the identifiable private information or identifiable biospecimens was obtained in accordance with §46.116(a)(1) - (4), (a)(6), and (d);</w:t>
      </w:r>
    </w:p>
    <w:p w14:paraId="525F8112" w14:textId="77777777" w:rsidR="0047638F" w:rsidRPr="0047638F" w:rsidRDefault="0047638F" w:rsidP="009C0237">
      <w:pPr>
        <w:pStyle w:val="Header"/>
        <w:numPr>
          <w:ilvl w:val="0"/>
          <w:numId w:val="46"/>
        </w:numPr>
        <w:tabs>
          <w:tab w:val="clear" w:pos="4680"/>
          <w:tab w:val="clear" w:pos="9360"/>
        </w:tabs>
        <w:ind w:left="1080"/>
        <w:rPr>
          <w:rFonts w:cstheme="minorHAnsi"/>
          <w:sz w:val="24"/>
          <w:szCs w:val="24"/>
        </w:rPr>
      </w:pPr>
      <w:r w:rsidRPr="0047638F">
        <w:rPr>
          <w:rFonts w:cstheme="minorHAnsi"/>
          <w:sz w:val="24"/>
          <w:szCs w:val="24"/>
        </w:rPr>
        <w:t>Documentation of informed consent or waiver of documentation of consent was obtained in accordance with §46.117;</w:t>
      </w:r>
    </w:p>
    <w:p w14:paraId="34E77C69" w14:textId="77777777" w:rsidR="0047638F" w:rsidRPr="0047638F" w:rsidRDefault="0047638F" w:rsidP="009C0237">
      <w:pPr>
        <w:pStyle w:val="Header"/>
        <w:numPr>
          <w:ilvl w:val="0"/>
          <w:numId w:val="46"/>
        </w:numPr>
        <w:tabs>
          <w:tab w:val="clear" w:pos="4680"/>
          <w:tab w:val="clear" w:pos="9360"/>
        </w:tabs>
        <w:ind w:left="1080"/>
        <w:rPr>
          <w:rFonts w:cstheme="minorHAnsi"/>
          <w:sz w:val="24"/>
          <w:szCs w:val="24"/>
        </w:rPr>
      </w:pPr>
      <w:r w:rsidRPr="0047638F">
        <w:rPr>
          <w:rFonts w:cstheme="minorHAnsi"/>
          <w:sz w:val="24"/>
          <w:szCs w:val="24"/>
        </w:rPr>
        <w:t>An IRB conducts a limited IRB review and makes the determination required by §46.111(a)(7) and makes the determination that the research to be conducted is within the scope of the broad consent referenced in paragraph (h)(</w:t>
      </w:r>
      <w:proofErr w:type="spellStart"/>
      <w:r w:rsidRPr="0047638F">
        <w:rPr>
          <w:rFonts w:cstheme="minorHAnsi"/>
          <w:sz w:val="24"/>
          <w:szCs w:val="24"/>
        </w:rPr>
        <w:t>i</w:t>
      </w:r>
      <w:proofErr w:type="spellEnd"/>
      <w:r w:rsidRPr="0047638F">
        <w:rPr>
          <w:rFonts w:cstheme="minorHAnsi"/>
          <w:sz w:val="24"/>
          <w:szCs w:val="24"/>
        </w:rPr>
        <w:t xml:space="preserve">) of this section; and </w:t>
      </w:r>
    </w:p>
    <w:p w14:paraId="2F9C9F10" w14:textId="77777777" w:rsidR="0047638F" w:rsidRPr="0047638F" w:rsidRDefault="0047638F" w:rsidP="009C0237">
      <w:pPr>
        <w:pStyle w:val="Header"/>
        <w:numPr>
          <w:ilvl w:val="0"/>
          <w:numId w:val="46"/>
        </w:numPr>
        <w:tabs>
          <w:tab w:val="clear" w:pos="4680"/>
          <w:tab w:val="clear" w:pos="9360"/>
        </w:tabs>
        <w:ind w:left="1080"/>
        <w:rPr>
          <w:rFonts w:cstheme="minorHAnsi"/>
          <w:sz w:val="24"/>
          <w:szCs w:val="24"/>
        </w:rPr>
      </w:pPr>
      <w:r w:rsidRPr="0047638F">
        <w:rPr>
          <w:rFonts w:cstheme="minorHAnsi"/>
          <w:sz w:val="24"/>
          <w:szCs w:val="24"/>
        </w:rPr>
        <w:t>The investigator does not include returning individual research results to subjects as part of the study plan. This provision does not prevent an investigator from abiding by any legal requirements to return individual research results.</w:t>
      </w:r>
    </w:p>
    <w:p w14:paraId="268EF744" w14:textId="77777777" w:rsidR="0047638F" w:rsidRPr="0047638F" w:rsidRDefault="0047638F" w:rsidP="0047638F">
      <w:pPr>
        <w:pStyle w:val="Header"/>
        <w:tabs>
          <w:tab w:val="clear" w:pos="4680"/>
          <w:tab w:val="clear" w:pos="9360"/>
        </w:tabs>
        <w:rPr>
          <w:rFonts w:cstheme="minorHAnsi"/>
          <w:sz w:val="24"/>
          <w:szCs w:val="24"/>
        </w:rPr>
      </w:pPr>
    </w:p>
    <w:p w14:paraId="55B0A5FF" w14:textId="77777777" w:rsidR="0047638F" w:rsidRPr="0047638F" w:rsidRDefault="0047638F" w:rsidP="009C0237">
      <w:pPr>
        <w:pStyle w:val="Header"/>
        <w:numPr>
          <w:ilvl w:val="0"/>
          <w:numId w:val="40"/>
        </w:numPr>
        <w:tabs>
          <w:tab w:val="clear" w:pos="4680"/>
          <w:tab w:val="clear" w:pos="9360"/>
        </w:tabs>
        <w:ind w:left="360"/>
        <w:rPr>
          <w:rFonts w:cstheme="minorHAnsi"/>
          <w:sz w:val="24"/>
          <w:szCs w:val="24"/>
        </w:rPr>
      </w:pPr>
      <w:r w:rsidRPr="0047638F">
        <w:rPr>
          <w:rFonts w:cstheme="minorHAnsi"/>
          <w:sz w:val="24"/>
          <w:szCs w:val="24"/>
        </w:rPr>
        <w:t>None of the exemptions for DHHS-regulated research listed at 45 CFR 46.104(d) apply to FDA-regulated research, except for exemption (6) involving taste and food quality evaluation and consumer acceptance studies.  None of the exemptions for FDA-regulated research listed at 21 CFR 56.104 apply to DHHS regulated research, except for the exemption for taste and food quality evaluation and consumer acceptance studies listed at 21 CFR 56.104(d).</w:t>
      </w:r>
    </w:p>
    <w:p w14:paraId="74DD0D9C" w14:textId="77777777" w:rsidR="0047638F" w:rsidRPr="0047638F" w:rsidRDefault="0047638F" w:rsidP="009C0237">
      <w:pPr>
        <w:pStyle w:val="Header"/>
        <w:tabs>
          <w:tab w:val="clear" w:pos="4680"/>
          <w:tab w:val="clear" w:pos="9360"/>
        </w:tabs>
        <w:ind w:left="360"/>
        <w:rPr>
          <w:rFonts w:cstheme="minorHAnsi"/>
          <w:sz w:val="24"/>
          <w:szCs w:val="24"/>
        </w:rPr>
      </w:pPr>
    </w:p>
    <w:p w14:paraId="5F60220A" w14:textId="06628B47" w:rsidR="0047638F" w:rsidRPr="0047638F" w:rsidRDefault="0047638F" w:rsidP="009C0237">
      <w:pPr>
        <w:pStyle w:val="Header"/>
        <w:numPr>
          <w:ilvl w:val="1"/>
          <w:numId w:val="35"/>
        </w:numPr>
        <w:tabs>
          <w:tab w:val="clear" w:pos="2160"/>
          <w:tab w:val="clear" w:pos="4680"/>
          <w:tab w:val="clear" w:pos="9360"/>
        </w:tabs>
        <w:ind w:left="360" w:hanging="360"/>
        <w:rPr>
          <w:rFonts w:cstheme="minorHAnsi"/>
          <w:sz w:val="24"/>
          <w:szCs w:val="24"/>
        </w:rPr>
      </w:pPr>
      <w:r w:rsidRPr="0047638F">
        <w:rPr>
          <w:rFonts w:cstheme="minorHAnsi"/>
          <w:sz w:val="24"/>
          <w:szCs w:val="24"/>
        </w:rPr>
        <w:t xml:space="preserve">An investigator requesting determination of NHSR or exempt status for a project from the UTHSC IRB must submit a </w:t>
      </w:r>
      <w:r w:rsidR="005C6A4C" w:rsidRPr="005C6A4C">
        <w:rPr>
          <w:rFonts w:cstheme="minorHAnsi"/>
          <w:i/>
          <w:iCs/>
          <w:sz w:val="24"/>
          <w:szCs w:val="24"/>
        </w:rPr>
        <w:t xml:space="preserve">UTHSC IRB </w:t>
      </w:r>
      <w:r w:rsidRPr="005C6A4C">
        <w:rPr>
          <w:rFonts w:cstheme="minorHAnsi"/>
          <w:i/>
          <w:iCs/>
          <w:sz w:val="24"/>
          <w:szCs w:val="24"/>
        </w:rPr>
        <w:t>Form 1</w:t>
      </w:r>
      <w:r w:rsidR="005C6A4C" w:rsidRPr="005C6A4C">
        <w:rPr>
          <w:rFonts w:cstheme="minorHAnsi"/>
          <w:i/>
          <w:iCs/>
          <w:sz w:val="24"/>
          <w:szCs w:val="24"/>
        </w:rPr>
        <w:t>: Study/Project</w:t>
      </w:r>
      <w:r w:rsidRPr="005C6A4C">
        <w:rPr>
          <w:rFonts w:cstheme="minorHAnsi"/>
          <w:i/>
          <w:iCs/>
          <w:sz w:val="24"/>
          <w:szCs w:val="24"/>
        </w:rPr>
        <w:t xml:space="preserve"> Application</w:t>
      </w:r>
      <w:r w:rsidRPr="0047638F">
        <w:rPr>
          <w:rFonts w:cstheme="minorHAnsi"/>
          <w:sz w:val="24"/>
          <w:szCs w:val="24"/>
        </w:rPr>
        <w:t xml:space="preserve"> via iMedRIS with the appropriate signatures and with the appropriate attachments, such as protocol, survey, etc.</w:t>
      </w:r>
    </w:p>
    <w:p w14:paraId="0606C9F4" w14:textId="77777777" w:rsidR="0047638F" w:rsidRPr="0047638F" w:rsidRDefault="0047638F" w:rsidP="009C0237">
      <w:pPr>
        <w:pStyle w:val="Header"/>
        <w:tabs>
          <w:tab w:val="clear" w:pos="4680"/>
          <w:tab w:val="clear" w:pos="9360"/>
        </w:tabs>
        <w:ind w:left="360"/>
        <w:rPr>
          <w:rFonts w:cstheme="minorHAnsi"/>
          <w:sz w:val="24"/>
          <w:szCs w:val="24"/>
        </w:rPr>
      </w:pPr>
    </w:p>
    <w:p w14:paraId="4D7E53D5" w14:textId="77777777" w:rsidR="0047638F" w:rsidRPr="0047638F" w:rsidRDefault="0047638F" w:rsidP="009C0237">
      <w:pPr>
        <w:pStyle w:val="Header"/>
        <w:numPr>
          <w:ilvl w:val="1"/>
          <w:numId w:val="35"/>
        </w:numPr>
        <w:tabs>
          <w:tab w:val="clear" w:pos="2160"/>
          <w:tab w:val="clear" w:pos="4680"/>
          <w:tab w:val="clear" w:pos="9360"/>
        </w:tabs>
        <w:ind w:left="360" w:hanging="360"/>
        <w:rPr>
          <w:rFonts w:cstheme="minorHAnsi"/>
          <w:sz w:val="24"/>
          <w:szCs w:val="24"/>
        </w:rPr>
      </w:pPr>
      <w:r w:rsidRPr="0047638F">
        <w:rPr>
          <w:rFonts w:cstheme="minorHAnsi"/>
          <w:sz w:val="24"/>
          <w:szCs w:val="24"/>
        </w:rPr>
        <w:t>Upon receipt of an application for determination of NHSR or exempt status, the following procedures will be utilized:</w:t>
      </w:r>
    </w:p>
    <w:p w14:paraId="0262E315" w14:textId="77777777" w:rsidR="0047638F" w:rsidRPr="0047638F" w:rsidRDefault="0047638F" w:rsidP="009C0237">
      <w:pPr>
        <w:pStyle w:val="Header"/>
        <w:tabs>
          <w:tab w:val="clear" w:pos="4680"/>
          <w:tab w:val="clear" w:pos="9360"/>
        </w:tabs>
        <w:ind w:left="720" w:hanging="360"/>
        <w:rPr>
          <w:rFonts w:cstheme="minorHAnsi"/>
          <w:sz w:val="24"/>
          <w:szCs w:val="24"/>
        </w:rPr>
      </w:pPr>
      <w:r w:rsidRPr="0047638F">
        <w:rPr>
          <w:rFonts w:cstheme="minorHAnsi"/>
          <w:sz w:val="24"/>
          <w:szCs w:val="24"/>
        </w:rPr>
        <w:t xml:space="preserve">a. </w:t>
      </w:r>
      <w:r w:rsidRPr="0047638F">
        <w:rPr>
          <w:rFonts w:cstheme="minorHAnsi"/>
          <w:sz w:val="24"/>
          <w:szCs w:val="24"/>
        </w:rPr>
        <w:tab/>
        <w:t>The IRB Director or designee will assign an IRB number to the application.</w:t>
      </w:r>
    </w:p>
    <w:p w14:paraId="26AE41CC" w14:textId="0C390B50" w:rsidR="0047638F" w:rsidRPr="0047638F" w:rsidRDefault="0047638F" w:rsidP="009C0237">
      <w:pPr>
        <w:pStyle w:val="Header"/>
        <w:tabs>
          <w:tab w:val="clear" w:pos="4680"/>
          <w:tab w:val="clear" w:pos="9360"/>
        </w:tabs>
        <w:ind w:left="720" w:hanging="360"/>
        <w:rPr>
          <w:rFonts w:cstheme="minorHAnsi"/>
          <w:sz w:val="24"/>
          <w:szCs w:val="24"/>
        </w:rPr>
      </w:pPr>
      <w:r w:rsidRPr="0047638F">
        <w:rPr>
          <w:rFonts w:cstheme="minorHAnsi"/>
          <w:sz w:val="24"/>
          <w:szCs w:val="24"/>
        </w:rPr>
        <w:t xml:space="preserve">b. </w:t>
      </w:r>
      <w:r w:rsidRPr="0047638F">
        <w:rPr>
          <w:rFonts w:cstheme="minorHAnsi"/>
          <w:sz w:val="24"/>
          <w:szCs w:val="24"/>
        </w:rPr>
        <w:tab/>
        <w:t xml:space="preserve">The </w:t>
      </w:r>
      <w:r w:rsidR="005C6A4C" w:rsidRPr="005C6A4C">
        <w:rPr>
          <w:rFonts w:cstheme="minorHAnsi"/>
          <w:i/>
          <w:iCs/>
          <w:sz w:val="24"/>
          <w:szCs w:val="24"/>
        </w:rPr>
        <w:t xml:space="preserve">UTHSC IRB </w:t>
      </w:r>
      <w:r w:rsidRPr="005C6A4C">
        <w:rPr>
          <w:rFonts w:cstheme="minorHAnsi"/>
          <w:i/>
          <w:iCs/>
          <w:sz w:val="24"/>
          <w:szCs w:val="24"/>
        </w:rPr>
        <w:t>Form 1</w:t>
      </w:r>
      <w:r w:rsidR="005C6A4C" w:rsidRPr="005C6A4C">
        <w:rPr>
          <w:rFonts w:cstheme="minorHAnsi"/>
          <w:i/>
          <w:iCs/>
          <w:sz w:val="24"/>
          <w:szCs w:val="24"/>
        </w:rPr>
        <w:t>: Study/Project</w:t>
      </w:r>
      <w:r w:rsidRPr="005C6A4C">
        <w:rPr>
          <w:rFonts w:cstheme="minorHAnsi"/>
          <w:i/>
          <w:iCs/>
          <w:sz w:val="24"/>
          <w:szCs w:val="24"/>
        </w:rPr>
        <w:t xml:space="preserve"> </w:t>
      </w:r>
      <w:r w:rsidR="005C6A4C" w:rsidRPr="005C6A4C">
        <w:rPr>
          <w:rFonts w:cstheme="minorHAnsi"/>
          <w:i/>
          <w:iCs/>
          <w:sz w:val="24"/>
          <w:szCs w:val="24"/>
        </w:rPr>
        <w:t>A</w:t>
      </w:r>
      <w:r w:rsidRPr="005C6A4C">
        <w:rPr>
          <w:rFonts w:cstheme="minorHAnsi"/>
          <w:i/>
          <w:iCs/>
          <w:sz w:val="24"/>
          <w:szCs w:val="24"/>
        </w:rPr>
        <w:t>pplication</w:t>
      </w:r>
      <w:r w:rsidRPr="0047638F">
        <w:rPr>
          <w:rFonts w:cstheme="minorHAnsi"/>
          <w:sz w:val="24"/>
          <w:szCs w:val="24"/>
        </w:rPr>
        <w:t xml:space="preserve"> is forwarded to the electronic queue of an IRB analyst for preliminary determination of whether the application qualifies for NHSR or exempt status.</w:t>
      </w:r>
    </w:p>
    <w:p w14:paraId="061EE630" w14:textId="77777777" w:rsidR="0047638F" w:rsidRPr="0047638F" w:rsidRDefault="0047638F" w:rsidP="009C0237">
      <w:pPr>
        <w:pStyle w:val="Header"/>
        <w:tabs>
          <w:tab w:val="clear" w:pos="4680"/>
          <w:tab w:val="clear" w:pos="9360"/>
        </w:tabs>
        <w:ind w:left="720" w:hanging="360"/>
        <w:rPr>
          <w:rFonts w:cstheme="minorHAnsi"/>
          <w:sz w:val="24"/>
          <w:szCs w:val="24"/>
        </w:rPr>
      </w:pPr>
      <w:r w:rsidRPr="0047638F">
        <w:rPr>
          <w:rFonts w:cstheme="minorHAnsi"/>
          <w:sz w:val="24"/>
          <w:szCs w:val="24"/>
        </w:rPr>
        <w:t xml:space="preserve">c.  </w:t>
      </w:r>
      <w:r w:rsidRPr="0047638F">
        <w:rPr>
          <w:rFonts w:cstheme="minorHAnsi"/>
          <w:sz w:val="24"/>
          <w:szCs w:val="24"/>
        </w:rPr>
        <w:tab/>
        <w:t>If the study may qualify for NHSR or exempt status, a Chair or other senior member of the IRB is assigned the responsibility for reviewing the application.  However, when any exemption requests are submitted that require limited IRB review per DHHS regulations, the limited review will be conducted by an IRB Chairperson or designated experienced IRB member.</w:t>
      </w:r>
    </w:p>
    <w:p w14:paraId="6A7176F5" w14:textId="77777777" w:rsidR="0047638F" w:rsidRPr="0047638F" w:rsidRDefault="0047638F" w:rsidP="009C0237">
      <w:pPr>
        <w:pStyle w:val="Header"/>
        <w:tabs>
          <w:tab w:val="clear" w:pos="4680"/>
          <w:tab w:val="clear" w:pos="9360"/>
        </w:tabs>
        <w:ind w:left="720" w:hanging="360"/>
        <w:rPr>
          <w:rFonts w:cstheme="minorHAnsi"/>
          <w:sz w:val="24"/>
          <w:szCs w:val="24"/>
        </w:rPr>
      </w:pPr>
      <w:r w:rsidRPr="0047638F">
        <w:rPr>
          <w:rFonts w:cstheme="minorHAnsi"/>
          <w:sz w:val="24"/>
          <w:szCs w:val="24"/>
        </w:rPr>
        <w:t xml:space="preserve">d. </w:t>
      </w:r>
      <w:r w:rsidRPr="0047638F">
        <w:rPr>
          <w:rFonts w:cstheme="minorHAnsi"/>
          <w:sz w:val="24"/>
          <w:szCs w:val="24"/>
        </w:rPr>
        <w:tab/>
        <w:t>The assigned reviewer(s) will review the application and consent documents according to applicable ethical principles, federal regulations and local IRB policies, and will complete the reviewer’s form.</w:t>
      </w:r>
    </w:p>
    <w:p w14:paraId="1DED85B3" w14:textId="77777777" w:rsidR="0047638F" w:rsidRPr="0047638F" w:rsidRDefault="0047638F" w:rsidP="009C0237">
      <w:pPr>
        <w:pStyle w:val="Header"/>
        <w:tabs>
          <w:tab w:val="clear" w:pos="4680"/>
          <w:tab w:val="clear" w:pos="9360"/>
        </w:tabs>
        <w:ind w:left="720" w:hanging="360"/>
        <w:rPr>
          <w:rFonts w:cstheme="minorHAnsi"/>
          <w:sz w:val="24"/>
          <w:szCs w:val="24"/>
        </w:rPr>
      </w:pPr>
      <w:r w:rsidRPr="0047638F">
        <w:rPr>
          <w:rFonts w:cstheme="minorHAnsi"/>
          <w:sz w:val="24"/>
          <w:szCs w:val="24"/>
        </w:rPr>
        <w:lastRenderedPageBreak/>
        <w:t>e.</w:t>
      </w:r>
      <w:r w:rsidRPr="0047638F">
        <w:rPr>
          <w:rFonts w:cstheme="minorHAnsi"/>
          <w:sz w:val="24"/>
          <w:szCs w:val="24"/>
        </w:rPr>
        <w:tab/>
        <w:t>The following criteria will be used by the reviewer to determine whether the research that meets exempt status requirements also meets the ethical human subjects research standards of UTHSC:</w:t>
      </w:r>
    </w:p>
    <w:p w14:paraId="3C2EDEB2" w14:textId="77777777" w:rsidR="0047638F" w:rsidRPr="0047638F" w:rsidRDefault="0047638F" w:rsidP="009C0237">
      <w:pPr>
        <w:pStyle w:val="Header"/>
        <w:numPr>
          <w:ilvl w:val="2"/>
          <w:numId w:val="33"/>
        </w:numPr>
        <w:tabs>
          <w:tab w:val="clear" w:pos="4680"/>
          <w:tab w:val="clear" w:pos="9360"/>
        </w:tabs>
        <w:ind w:left="1080" w:hanging="360"/>
        <w:rPr>
          <w:rFonts w:cstheme="minorHAnsi"/>
          <w:sz w:val="24"/>
          <w:szCs w:val="24"/>
        </w:rPr>
      </w:pPr>
      <w:r w:rsidRPr="0047638F">
        <w:rPr>
          <w:rFonts w:cstheme="minorHAnsi"/>
          <w:sz w:val="24"/>
          <w:szCs w:val="24"/>
        </w:rPr>
        <w:t>The research involves no more than minimal risk to participants.</w:t>
      </w:r>
    </w:p>
    <w:p w14:paraId="6D22351E" w14:textId="77777777" w:rsidR="0047638F" w:rsidRPr="0047638F" w:rsidRDefault="0047638F" w:rsidP="009C0237">
      <w:pPr>
        <w:pStyle w:val="Header"/>
        <w:numPr>
          <w:ilvl w:val="2"/>
          <w:numId w:val="33"/>
        </w:numPr>
        <w:tabs>
          <w:tab w:val="clear" w:pos="4680"/>
          <w:tab w:val="clear" w:pos="9360"/>
        </w:tabs>
        <w:ind w:left="1080" w:hanging="360"/>
        <w:rPr>
          <w:rFonts w:cstheme="minorHAnsi"/>
          <w:sz w:val="24"/>
          <w:szCs w:val="24"/>
        </w:rPr>
      </w:pPr>
      <w:r w:rsidRPr="0047638F">
        <w:rPr>
          <w:rFonts w:cstheme="minorHAnsi"/>
          <w:sz w:val="24"/>
          <w:szCs w:val="24"/>
        </w:rPr>
        <w:t>If participants are enrolled, selection is equitable.</w:t>
      </w:r>
    </w:p>
    <w:p w14:paraId="545CB3A9" w14:textId="77777777" w:rsidR="0047638F" w:rsidRPr="0047638F" w:rsidRDefault="0047638F" w:rsidP="009C0237">
      <w:pPr>
        <w:pStyle w:val="Header"/>
        <w:numPr>
          <w:ilvl w:val="2"/>
          <w:numId w:val="33"/>
        </w:numPr>
        <w:tabs>
          <w:tab w:val="clear" w:pos="4680"/>
          <w:tab w:val="clear" w:pos="9360"/>
        </w:tabs>
        <w:ind w:left="1080" w:hanging="360"/>
        <w:rPr>
          <w:rFonts w:cstheme="minorHAnsi"/>
          <w:sz w:val="24"/>
          <w:szCs w:val="24"/>
        </w:rPr>
      </w:pPr>
      <w:r w:rsidRPr="0047638F">
        <w:rPr>
          <w:rFonts w:cstheme="minorHAnsi"/>
          <w:sz w:val="24"/>
          <w:szCs w:val="24"/>
        </w:rPr>
        <w:t>If there is recording of identifiable information, there are adequate provisions to maintain the confidentiality of the data.</w:t>
      </w:r>
    </w:p>
    <w:p w14:paraId="03654CAA" w14:textId="77777777" w:rsidR="0047638F" w:rsidRPr="0047638F" w:rsidRDefault="0047638F" w:rsidP="009C0237">
      <w:pPr>
        <w:pStyle w:val="Header"/>
        <w:numPr>
          <w:ilvl w:val="2"/>
          <w:numId w:val="33"/>
        </w:numPr>
        <w:tabs>
          <w:tab w:val="clear" w:pos="4680"/>
          <w:tab w:val="clear" w:pos="9360"/>
        </w:tabs>
        <w:ind w:left="1080" w:hanging="360"/>
        <w:rPr>
          <w:rFonts w:cstheme="minorHAnsi"/>
          <w:sz w:val="24"/>
          <w:szCs w:val="24"/>
        </w:rPr>
      </w:pPr>
      <w:r w:rsidRPr="0047638F">
        <w:rPr>
          <w:rFonts w:cstheme="minorHAnsi"/>
          <w:sz w:val="24"/>
          <w:szCs w:val="24"/>
        </w:rPr>
        <w:t>If there are interactions with participants, there will be a consent process that will disclose such information as:</w:t>
      </w:r>
    </w:p>
    <w:p w14:paraId="603AC94F" w14:textId="77777777" w:rsidR="0047638F" w:rsidRPr="0047638F" w:rsidRDefault="0047638F" w:rsidP="009C0237">
      <w:pPr>
        <w:pStyle w:val="Header"/>
        <w:numPr>
          <w:ilvl w:val="0"/>
          <w:numId w:val="38"/>
        </w:numPr>
        <w:tabs>
          <w:tab w:val="clear" w:pos="4680"/>
          <w:tab w:val="clear" w:pos="9360"/>
        </w:tabs>
        <w:ind w:left="1440"/>
        <w:rPr>
          <w:rFonts w:cstheme="minorHAnsi"/>
          <w:sz w:val="24"/>
          <w:szCs w:val="24"/>
        </w:rPr>
      </w:pPr>
      <w:r w:rsidRPr="0047638F">
        <w:rPr>
          <w:rFonts w:cstheme="minorHAnsi"/>
          <w:sz w:val="24"/>
          <w:szCs w:val="24"/>
        </w:rPr>
        <w:t>That the activity involves research.</w:t>
      </w:r>
    </w:p>
    <w:p w14:paraId="4A49B457" w14:textId="77777777" w:rsidR="0047638F" w:rsidRPr="0047638F" w:rsidRDefault="0047638F" w:rsidP="009C0237">
      <w:pPr>
        <w:pStyle w:val="Header"/>
        <w:numPr>
          <w:ilvl w:val="0"/>
          <w:numId w:val="38"/>
        </w:numPr>
        <w:tabs>
          <w:tab w:val="clear" w:pos="4680"/>
          <w:tab w:val="clear" w:pos="9360"/>
        </w:tabs>
        <w:ind w:left="1440"/>
        <w:rPr>
          <w:rFonts w:cstheme="minorHAnsi"/>
          <w:sz w:val="24"/>
          <w:szCs w:val="24"/>
        </w:rPr>
      </w:pPr>
      <w:r w:rsidRPr="0047638F">
        <w:rPr>
          <w:rFonts w:cstheme="minorHAnsi"/>
          <w:sz w:val="24"/>
          <w:szCs w:val="24"/>
        </w:rPr>
        <w:t>A description of the procedures.</w:t>
      </w:r>
    </w:p>
    <w:p w14:paraId="089842E1" w14:textId="77777777" w:rsidR="0047638F" w:rsidRPr="0047638F" w:rsidRDefault="0047638F" w:rsidP="009C0237">
      <w:pPr>
        <w:pStyle w:val="Header"/>
        <w:numPr>
          <w:ilvl w:val="0"/>
          <w:numId w:val="38"/>
        </w:numPr>
        <w:tabs>
          <w:tab w:val="clear" w:pos="4680"/>
          <w:tab w:val="clear" w:pos="9360"/>
        </w:tabs>
        <w:ind w:left="1440"/>
        <w:rPr>
          <w:rFonts w:cstheme="minorHAnsi"/>
          <w:sz w:val="24"/>
          <w:szCs w:val="24"/>
        </w:rPr>
      </w:pPr>
      <w:r w:rsidRPr="0047638F">
        <w:rPr>
          <w:rFonts w:cstheme="minorHAnsi"/>
          <w:sz w:val="24"/>
          <w:szCs w:val="24"/>
        </w:rPr>
        <w:t>That participation is voluntary.</w:t>
      </w:r>
    </w:p>
    <w:p w14:paraId="544A59F9" w14:textId="77777777" w:rsidR="0047638F" w:rsidRPr="0047638F" w:rsidRDefault="0047638F" w:rsidP="009C0237">
      <w:pPr>
        <w:pStyle w:val="Header"/>
        <w:numPr>
          <w:ilvl w:val="0"/>
          <w:numId w:val="38"/>
        </w:numPr>
        <w:tabs>
          <w:tab w:val="clear" w:pos="4680"/>
          <w:tab w:val="clear" w:pos="9360"/>
        </w:tabs>
        <w:ind w:left="1440"/>
        <w:rPr>
          <w:rFonts w:cstheme="minorHAnsi"/>
          <w:sz w:val="24"/>
          <w:szCs w:val="24"/>
        </w:rPr>
      </w:pPr>
      <w:r w:rsidRPr="0047638F">
        <w:rPr>
          <w:rFonts w:cstheme="minorHAnsi"/>
          <w:sz w:val="24"/>
          <w:szCs w:val="24"/>
        </w:rPr>
        <w:t>Name and contact information for the researcher.</w:t>
      </w:r>
    </w:p>
    <w:p w14:paraId="436A940D" w14:textId="77777777" w:rsidR="0047638F" w:rsidRPr="0047638F" w:rsidRDefault="0047638F" w:rsidP="009C0237">
      <w:pPr>
        <w:pStyle w:val="Header"/>
        <w:tabs>
          <w:tab w:val="clear" w:pos="4680"/>
          <w:tab w:val="clear" w:pos="9360"/>
        </w:tabs>
        <w:ind w:left="720"/>
        <w:rPr>
          <w:rFonts w:cstheme="minorHAnsi"/>
          <w:sz w:val="24"/>
          <w:szCs w:val="24"/>
        </w:rPr>
      </w:pPr>
      <w:r w:rsidRPr="0047638F">
        <w:rPr>
          <w:rFonts w:cstheme="minorHAnsi"/>
          <w:sz w:val="24"/>
          <w:szCs w:val="24"/>
        </w:rPr>
        <w:t>The consent process may be waived or altered for some projects; see SOP: UTHSC IRB Informed Consent.</w:t>
      </w:r>
    </w:p>
    <w:p w14:paraId="6ABE9475" w14:textId="77777777" w:rsidR="0047638F" w:rsidRPr="0047638F" w:rsidRDefault="0047638F" w:rsidP="009C0237">
      <w:pPr>
        <w:pStyle w:val="Header"/>
        <w:numPr>
          <w:ilvl w:val="2"/>
          <w:numId w:val="33"/>
        </w:numPr>
        <w:tabs>
          <w:tab w:val="clear" w:pos="4680"/>
          <w:tab w:val="clear" w:pos="9360"/>
        </w:tabs>
        <w:ind w:left="1080" w:hanging="360"/>
        <w:rPr>
          <w:rFonts w:cstheme="minorHAnsi"/>
          <w:sz w:val="24"/>
          <w:szCs w:val="24"/>
        </w:rPr>
      </w:pPr>
      <w:r w:rsidRPr="0047638F">
        <w:rPr>
          <w:rFonts w:cstheme="minorHAnsi"/>
          <w:sz w:val="24"/>
          <w:szCs w:val="24"/>
        </w:rPr>
        <w:t>There are adequate provisions to maintain the privacy interests of participants.</w:t>
      </w:r>
    </w:p>
    <w:p w14:paraId="2C522F43" w14:textId="77777777" w:rsidR="0047638F" w:rsidRPr="0047638F" w:rsidRDefault="0047638F" w:rsidP="0047638F">
      <w:pPr>
        <w:pStyle w:val="Header"/>
        <w:tabs>
          <w:tab w:val="clear" w:pos="4680"/>
          <w:tab w:val="clear" w:pos="9360"/>
        </w:tabs>
        <w:rPr>
          <w:rFonts w:cstheme="minorHAnsi"/>
          <w:sz w:val="24"/>
          <w:szCs w:val="24"/>
        </w:rPr>
      </w:pPr>
    </w:p>
    <w:p w14:paraId="67EBE040" w14:textId="25C5E7D5" w:rsidR="0047638F" w:rsidRPr="0047638F" w:rsidRDefault="0047638F" w:rsidP="009C0237">
      <w:pPr>
        <w:pStyle w:val="Header"/>
        <w:numPr>
          <w:ilvl w:val="1"/>
          <w:numId w:val="35"/>
        </w:numPr>
        <w:tabs>
          <w:tab w:val="clear" w:pos="2160"/>
          <w:tab w:val="clear" w:pos="4680"/>
          <w:tab w:val="clear" w:pos="9360"/>
        </w:tabs>
        <w:ind w:left="360" w:hanging="360"/>
        <w:rPr>
          <w:rFonts w:cstheme="minorHAnsi"/>
          <w:sz w:val="24"/>
          <w:szCs w:val="24"/>
        </w:rPr>
      </w:pPr>
      <w:r w:rsidRPr="0047638F">
        <w:rPr>
          <w:rFonts w:cstheme="minorHAnsi"/>
          <w:sz w:val="24"/>
          <w:szCs w:val="24"/>
        </w:rPr>
        <w:t xml:space="preserve">If the reviewer approves NHSR or exempt status for the </w:t>
      </w:r>
      <w:r w:rsidR="005C6A4C" w:rsidRPr="005C6A4C">
        <w:rPr>
          <w:rFonts w:cstheme="minorHAnsi"/>
          <w:i/>
          <w:iCs/>
          <w:sz w:val="24"/>
          <w:szCs w:val="24"/>
        </w:rPr>
        <w:t xml:space="preserve">UTHSC IRB </w:t>
      </w:r>
      <w:r w:rsidRPr="005C6A4C">
        <w:rPr>
          <w:rFonts w:cstheme="minorHAnsi"/>
          <w:i/>
          <w:iCs/>
          <w:sz w:val="24"/>
          <w:szCs w:val="24"/>
        </w:rPr>
        <w:t>Form 1</w:t>
      </w:r>
      <w:r w:rsidR="005C6A4C" w:rsidRPr="005C6A4C">
        <w:rPr>
          <w:rFonts w:cstheme="minorHAnsi"/>
          <w:i/>
          <w:iCs/>
          <w:sz w:val="24"/>
          <w:szCs w:val="24"/>
        </w:rPr>
        <w:t>: Study/Project A</w:t>
      </w:r>
      <w:r w:rsidRPr="005C6A4C">
        <w:rPr>
          <w:rFonts w:cstheme="minorHAnsi"/>
          <w:i/>
          <w:iCs/>
          <w:sz w:val="24"/>
          <w:szCs w:val="24"/>
        </w:rPr>
        <w:t>pplication</w:t>
      </w:r>
      <w:r w:rsidRPr="0047638F">
        <w:rPr>
          <w:rFonts w:cstheme="minorHAnsi"/>
          <w:sz w:val="24"/>
          <w:szCs w:val="24"/>
        </w:rPr>
        <w:t>:</w:t>
      </w:r>
    </w:p>
    <w:p w14:paraId="5F06D8F4" w14:textId="77777777" w:rsidR="0047638F" w:rsidRPr="0047638F" w:rsidRDefault="0047638F" w:rsidP="006638FE">
      <w:pPr>
        <w:pStyle w:val="Header"/>
        <w:numPr>
          <w:ilvl w:val="4"/>
          <w:numId w:val="36"/>
        </w:numPr>
        <w:tabs>
          <w:tab w:val="clear" w:pos="4680"/>
          <w:tab w:val="clear" w:pos="9360"/>
        </w:tabs>
        <w:ind w:left="720"/>
        <w:rPr>
          <w:rFonts w:cstheme="minorHAnsi"/>
          <w:sz w:val="24"/>
          <w:szCs w:val="24"/>
        </w:rPr>
      </w:pPr>
      <w:r w:rsidRPr="0047638F">
        <w:rPr>
          <w:rFonts w:cstheme="minorHAnsi"/>
          <w:sz w:val="24"/>
          <w:szCs w:val="24"/>
        </w:rPr>
        <w:t>The results of the review will be summarized by an IRB analyst in a letter to the principal investigator, including the exempt regulation under which the project qualifies for exempt status or the regulation under which the project qualifies for NHSR status.</w:t>
      </w:r>
    </w:p>
    <w:p w14:paraId="24BE0373" w14:textId="77777777" w:rsidR="0047638F" w:rsidRPr="0047638F" w:rsidRDefault="0047638F" w:rsidP="006638FE">
      <w:pPr>
        <w:pStyle w:val="Header"/>
        <w:numPr>
          <w:ilvl w:val="0"/>
          <w:numId w:val="36"/>
        </w:numPr>
        <w:tabs>
          <w:tab w:val="clear" w:pos="4680"/>
          <w:tab w:val="clear" w:pos="9360"/>
        </w:tabs>
        <w:ind w:left="720"/>
        <w:rPr>
          <w:rFonts w:cstheme="minorHAnsi"/>
          <w:sz w:val="24"/>
          <w:szCs w:val="24"/>
        </w:rPr>
      </w:pPr>
      <w:r w:rsidRPr="0047638F">
        <w:rPr>
          <w:rFonts w:cstheme="minorHAnsi"/>
          <w:sz w:val="24"/>
          <w:szCs w:val="24"/>
        </w:rPr>
        <w:t>A copy of the correspondence will be placed in the electronic IRB file     for the study.</w:t>
      </w:r>
    </w:p>
    <w:p w14:paraId="28972174" w14:textId="77777777" w:rsidR="0047638F" w:rsidRPr="0047638F" w:rsidRDefault="0047638F" w:rsidP="006638FE">
      <w:pPr>
        <w:pStyle w:val="Header"/>
        <w:numPr>
          <w:ilvl w:val="0"/>
          <w:numId w:val="36"/>
        </w:numPr>
        <w:tabs>
          <w:tab w:val="clear" w:pos="4680"/>
          <w:tab w:val="clear" w:pos="9360"/>
        </w:tabs>
        <w:ind w:left="720"/>
        <w:rPr>
          <w:rFonts w:cstheme="minorHAnsi"/>
          <w:sz w:val="24"/>
          <w:szCs w:val="24"/>
        </w:rPr>
      </w:pPr>
      <w:r w:rsidRPr="0047638F">
        <w:rPr>
          <w:rFonts w:cstheme="minorHAnsi"/>
          <w:sz w:val="24"/>
          <w:szCs w:val="24"/>
        </w:rPr>
        <w:t>The letter will be sent electronically to the investigator.</w:t>
      </w:r>
    </w:p>
    <w:p w14:paraId="48EB2E57" w14:textId="77777777" w:rsidR="0047638F" w:rsidRPr="0047638F" w:rsidRDefault="0047638F" w:rsidP="0047638F">
      <w:pPr>
        <w:pStyle w:val="Header"/>
        <w:tabs>
          <w:tab w:val="clear" w:pos="4680"/>
          <w:tab w:val="clear" w:pos="9360"/>
        </w:tabs>
        <w:rPr>
          <w:rFonts w:cstheme="minorHAnsi"/>
          <w:sz w:val="24"/>
          <w:szCs w:val="24"/>
        </w:rPr>
      </w:pPr>
    </w:p>
    <w:p w14:paraId="015D9939" w14:textId="77777777" w:rsidR="0047638F" w:rsidRPr="0047638F" w:rsidRDefault="0047638F" w:rsidP="006638FE">
      <w:pPr>
        <w:pStyle w:val="Header"/>
        <w:numPr>
          <w:ilvl w:val="1"/>
          <w:numId w:val="35"/>
        </w:numPr>
        <w:tabs>
          <w:tab w:val="clear" w:pos="2160"/>
          <w:tab w:val="clear" w:pos="4680"/>
          <w:tab w:val="clear" w:pos="9360"/>
        </w:tabs>
        <w:ind w:left="360" w:hanging="360"/>
        <w:rPr>
          <w:rFonts w:cstheme="minorHAnsi"/>
          <w:sz w:val="24"/>
          <w:szCs w:val="24"/>
        </w:rPr>
      </w:pPr>
      <w:r w:rsidRPr="0047638F">
        <w:rPr>
          <w:rFonts w:cstheme="minorHAnsi"/>
          <w:sz w:val="24"/>
          <w:szCs w:val="24"/>
        </w:rPr>
        <w:t>If it is decided that the research cannot be approved for NHSR or exempt status:</w:t>
      </w:r>
    </w:p>
    <w:p w14:paraId="7ECBDC78" w14:textId="77777777" w:rsidR="0047638F" w:rsidRPr="0047638F" w:rsidRDefault="0047638F" w:rsidP="006638FE">
      <w:pPr>
        <w:pStyle w:val="Header"/>
        <w:numPr>
          <w:ilvl w:val="4"/>
          <w:numId w:val="35"/>
        </w:numPr>
        <w:tabs>
          <w:tab w:val="clear" w:pos="3600"/>
          <w:tab w:val="clear" w:pos="4680"/>
          <w:tab w:val="clear" w:pos="9360"/>
        </w:tabs>
        <w:ind w:left="720"/>
        <w:rPr>
          <w:rFonts w:cstheme="minorHAnsi"/>
          <w:sz w:val="24"/>
          <w:szCs w:val="24"/>
        </w:rPr>
      </w:pPr>
      <w:r w:rsidRPr="0047638F">
        <w:rPr>
          <w:rFonts w:cstheme="minorHAnsi"/>
          <w:sz w:val="24"/>
          <w:szCs w:val="24"/>
        </w:rPr>
        <w:t xml:space="preserve">The investigator will be notified electronically of the determination. </w:t>
      </w:r>
    </w:p>
    <w:p w14:paraId="6DD5F3B5" w14:textId="77777777" w:rsidR="0047638F" w:rsidRPr="0047638F" w:rsidRDefault="0047638F" w:rsidP="006638FE">
      <w:pPr>
        <w:pStyle w:val="Header"/>
        <w:numPr>
          <w:ilvl w:val="4"/>
          <w:numId w:val="35"/>
        </w:numPr>
        <w:tabs>
          <w:tab w:val="clear" w:pos="3600"/>
          <w:tab w:val="clear" w:pos="4680"/>
          <w:tab w:val="clear" w:pos="9360"/>
        </w:tabs>
        <w:ind w:left="720"/>
        <w:rPr>
          <w:rFonts w:cstheme="minorHAnsi"/>
          <w:sz w:val="24"/>
          <w:szCs w:val="24"/>
        </w:rPr>
      </w:pPr>
      <w:r w:rsidRPr="0047638F">
        <w:rPr>
          <w:rFonts w:cstheme="minorHAnsi"/>
          <w:sz w:val="24"/>
          <w:szCs w:val="24"/>
        </w:rPr>
        <w:t>IRB Director or designee will place the correspondence in the electronic IRB file for the study.</w:t>
      </w:r>
    </w:p>
    <w:p w14:paraId="43F365C2" w14:textId="77777777" w:rsidR="0047638F" w:rsidRPr="0047638F" w:rsidRDefault="0047638F" w:rsidP="006638FE">
      <w:pPr>
        <w:pStyle w:val="Header"/>
        <w:numPr>
          <w:ilvl w:val="4"/>
          <w:numId w:val="35"/>
        </w:numPr>
        <w:tabs>
          <w:tab w:val="clear" w:pos="3600"/>
          <w:tab w:val="clear" w:pos="4680"/>
          <w:tab w:val="clear" w:pos="9360"/>
        </w:tabs>
        <w:ind w:left="720"/>
        <w:rPr>
          <w:rFonts w:cstheme="minorHAnsi"/>
          <w:sz w:val="24"/>
          <w:szCs w:val="24"/>
        </w:rPr>
      </w:pPr>
      <w:r w:rsidRPr="0047638F">
        <w:rPr>
          <w:rFonts w:cstheme="minorHAnsi"/>
          <w:sz w:val="24"/>
          <w:szCs w:val="24"/>
        </w:rPr>
        <w:t>The application will be assigned expedited or full Board review status, as appropriate.</w:t>
      </w:r>
    </w:p>
    <w:p w14:paraId="6B9398D1" w14:textId="77777777" w:rsidR="0047638F" w:rsidRPr="0047638F" w:rsidRDefault="0047638F" w:rsidP="0047638F">
      <w:pPr>
        <w:pStyle w:val="Header"/>
        <w:tabs>
          <w:tab w:val="clear" w:pos="4680"/>
          <w:tab w:val="clear" w:pos="9360"/>
        </w:tabs>
        <w:ind w:hanging="360"/>
        <w:rPr>
          <w:rFonts w:cstheme="minorHAnsi"/>
          <w:sz w:val="24"/>
          <w:szCs w:val="24"/>
        </w:rPr>
      </w:pPr>
    </w:p>
    <w:p w14:paraId="185A85DC" w14:textId="77777777" w:rsidR="0047638F" w:rsidRPr="0047638F" w:rsidRDefault="0047638F" w:rsidP="006638FE">
      <w:pPr>
        <w:pStyle w:val="Header"/>
        <w:numPr>
          <w:ilvl w:val="0"/>
          <w:numId w:val="47"/>
        </w:numPr>
        <w:tabs>
          <w:tab w:val="clear" w:pos="4680"/>
          <w:tab w:val="clear" w:pos="9360"/>
        </w:tabs>
        <w:ind w:left="360"/>
        <w:rPr>
          <w:rFonts w:cstheme="minorHAnsi"/>
          <w:sz w:val="24"/>
          <w:szCs w:val="24"/>
        </w:rPr>
      </w:pPr>
      <w:r w:rsidRPr="0047638F">
        <w:rPr>
          <w:rFonts w:cstheme="minorHAnsi"/>
          <w:sz w:val="24"/>
          <w:szCs w:val="24"/>
        </w:rPr>
        <w:t>A copy of all correspondence concerning the determination of NHSR or exempt status will be retained in the IRB files for the study.</w:t>
      </w:r>
    </w:p>
    <w:p w14:paraId="63CE0D2E" w14:textId="77777777" w:rsidR="0047638F" w:rsidRPr="0047638F" w:rsidRDefault="0047638F" w:rsidP="006638FE">
      <w:pPr>
        <w:pStyle w:val="Header"/>
        <w:tabs>
          <w:tab w:val="clear" w:pos="4680"/>
          <w:tab w:val="clear" w:pos="9360"/>
        </w:tabs>
        <w:ind w:left="360" w:hanging="360"/>
        <w:rPr>
          <w:rFonts w:cstheme="minorHAnsi"/>
          <w:sz w:val="24"/>
          <w:szCs w:val="24"/>
        </w:rPr>
      </w:pPr>
    </w:p>
    <w:p w14:paraId="72DC89C1" w14:textId="77777777" w:rsidR="0047638F" w:rsidRPr="0047638F" w:rsidRDefault="0047638F" w:rsidP="006638FE">
      <w:pPr>
        <w:pStyle w:val="Header"/>
        <w:numPr>
          <w:ilvl w:val="0"/>
          <w:numId w:val="47"/>
        </w:numPr>
        <w:tabs>
          <w:tab w:val="clear" w:pos="4680"/>
          <w:tab w:val="clear" w:pos="9360"/>
        </w:tabs>
        <w:ind w:left="360"/>
        <w:rPr>
          <w:rFonts w:cstheme="minorHAnsi"/>
          <w:sz w:val="24"/>
          <w:szCs w:val="24"/>
        </w:rPr>
      </w:pPr>
      <w:r w:rsidRPr="0047638F">
        <w:rPr>
          <w:rFonts w:cstheme="minorHAnsi"/>
          <w:sz w:val="24"/>
          <w:szCs w:val="24"/>
        </w:rPr>
        <w:t>Documentation of IRB review and approval, approval with provisos, and deferrals will be placed on the electronic meeting agenda and sent electronically to Board members before the Board meeting each applicable week when the agenda is finalized.  Also included will be the satisfaction by the investigator of provisos regarding IRB approval.  A copy of the finalized agenda is provided to the Vice Chancellor for Research in fulfillment of the regulatory requirement to communicate the IRB’s findings and actions to the institution in writing [previously found at 45 CFR 103(b)(4)(</w:t>
      </w:r>
      <w:proofErr w:type="spellStart"/>
      <w:r w:rsidRPr="0047638F">
        <w:rPr>
          <w:rFonts w:cstheme="minorHAnsi"/>
          <w:sz w:val="24"/>
          <w:szCs w:val="24"/>
        </w:rPr>
        <w:t>i</w:t>
      </w:r>
      <w:proofErr w:type="spellEnd"/>
      <w:r w:rsidRPr="0047638F">
        <w:rPr>
          <w:rFonts w:cstheme="minorHAnsi"/>
          <w:sz w:val="24"/>
          <w:szCs w:val="24"/>
        </w:rPr>
        <w:t>), now found at 45 CFR 46.108(a)(3)(</w:t>
      </w:r>
      <w:proofErr w:type="spellStart"/>
      <w:r w:rsidRPr="0047638F">
        <w:rPr>
          <w:rFonts w:cstheme="minorHAnsi"/>
          <w:sz w:val="24"/>
          <w:szCs w:val="24"/>
        </w:rPr>
        <w:t>i</w:t>
      </w:r>
      <w:proofErr w:type="spellEnd"/>
      <w:r w:rsidRPr="0047638F">
        <w:rPr>
          <w:rFonts w:cstheme="minorHAnsi"/>
          <w:sz w:val="24"/>
          <w:szCs w:val="24"/>
        </w:rPr>
        <w:t>) in the revised Common Rule].</w:t>
      </w:r>
    </w:p>
    <w:p w14:paraId="119DAE79" w14:textId="77777777" w:rsidR="0047638F" w:rsidRDefault="0047638F" w:rsidP="0047638F"/>
    <w:p w14:paraId="4973A547" w14:textId="77777777" w:rsidR="0047638F" w:rsidRPr="00613394" w:rsidRDefault="0047638F" w:rsidP="00613394">
      <w:pPr>
        <w:tabs>
          <w:tab w:val="left" w:pos="450"/>
        </w:tabs>
        <w:spacing w:after="0" w:line="240" w:lineRule="auto"/>
        <w:jc w:val="both"/>
        <w:rPr>
          <w:rFonts w:cstheme="minorHAnsi"/>
          <w:bCs/>
          <w:sz w:val="24"/>
          <w:szCs w:val="24"/>
        </w:rPr>
      </w:pPr>
    </w:p>
    <w:sectPr w:rsidR="0047638F" w:rsidRPr="00613394" w:rsidSect="00EE61EC">
      <w:footerReference w:type="even" r:id="rId12"/>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A3D23" w14:textId="77777777" w:rsidR="004E065E" w:rsidRDefault="004E065E" w:rsidP="000B2BAB">
      <w:pPr>
        <w:spacing w:after="0" w:line="240" w:lineRule="auto"/>
      </w:pPr>
      <w:r>
        <w:separator/>
      </w:r>
    </w:p>
  </w:endnote>
  <w:endnote w:type="continuationSeparator" w:id="0">
    <w:p w14:paraId="4BB49452" w14:textId="77777777" w:rsidR="004E065E" w:rsidRDefault="004E065E" w:rsidP="000B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Book">
    <w:panose1 w:val="02000503020000020003"/>
    <w:charset w:val="00"/>
    <w:family w:val="auto"/>
    <w:pitch w:val="variable"/>
    <w:sig w:usb0="800000AF" w:usb1="5000204A" w:usb2="00000000" w:usb3="00000000" w:csb0="0000009B"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05FF032F" w:rsidR="009D3BB9" w:rsidRDefault="007B2C4E" w:rsidP="000E70D5">
    <w:pPr>
      <w:pStyle w:val="Footer"/>
      <w:framePr w:wrap="around" w:vAnchor="text" w:hAnchor="margin" w:xAlign="right" w:y="1"/>
      <w:rPr>
        <w:rStyle w:val="PageNumber"/>
      </w:rPr>
    </w:pPr>
    <w:r>
      <w:rPr>
        <w:rStyle w:val="PageNumber"/>
      </w:rPr>
      <w:fldChar w:fldCharType="begin"/>
    </w:r>
    <w:r w:rsidR="009D3BB9">
      <w:rPr>
        <w:rStyle w:val="PageNumber"/>
      </w:rPr>
      <w:instrText xml:space="preserve">PAGE  </w:instrText>
    </w:r>
    <w:r>
      <w:rPr>
        <w:rStyle w:val="PageNumber"/>
      </w:rPr>
      <w:fldChar w:fldCharType="separate"/>
    </w:r>
    <w:r w:rsidR="00A42E22">
      <w:rPr>
        <w:rStyle w:val="PageNumber"/>
        <w:noProof/>
      </w:rPr>
      <w:t>2</w:t>
    </w:r>
    <w:r>
      <w:rPr>
        <w:rStyle w:val="PageNumber"/>
      </w:rPr>
      <w:fldChar w:fldCharType="end"/>
    </w:r>
  </w:p>
  <w:p w14:paraId="70DF9E56" w14:textId="77777777" w:rsidR="009D3BB9" w:rsidRDefault="009D3BB9" w:rsidP="00126D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08D5" w14:textId="77777777" w:rsidR="009D3BB9" w:rsidRDefault="009D3BB9" w:rsidP="009D3BB9">
    <w:pPr>
      <w:pStyle w:val="Footer"/>
      <w:framePr w:wrap="around" w:vAnchor="text" w:hAnchor="margin" w:xAlign="right" w:y="1"/>
      <w:rPr>
        <w:rStyle w:val="PageNumber"/>
      </w:rPr>
    </w:pPr>
    <w:r>
      <w:rPr>
        <w:rStyle w:val="PageNumber"/>
      </w:rPr>
      <w:t xml:space="preserve">PAGE </w:t>
    </w:r>
    <w:r w:rsidR="007B2C4E">
      <w:rPr>
        <w:rStyle w:val="PageNumber"/>
      </w:rPr>
      <w:fldChar w:fldCharType="begin"/>
    </w:r>
    <w:r>
      <w:rPr>
        <w:rStyle w:val="PageNumber"/>
      </w:rPr>
      <w:instrText xml:space="preserve">PAGE  </w:instrText>
    </w:r>
    <w:r w:rsidR="007B2C4E">
      <w:rPr>
        <w:rStyle w:val="PageNumber"/>
      </w:rPr>
      <w:fldChar w:fldCharType="separate"/>
    </w:r>
    <w:r w:rsidR="00996230">
      <w:rPr>
        <w:rStyle w:val="PageNumber"/>
        <w:noProof/>
      </w:rPr>
      <w:t>4</w:t>
    </w:r>
    <w:r w:rsidR="007B2C4E">
      <w:rPr>
        <w:rStyle w:val="PageNumber"/>
      </w:rPr>
      <w:fldChar w:fldCharType="end"/>
    </w:r>
  </w:p>
  <w:p w14:paraId="4733172A" w14:textId="1E6A8F72" w:rsidR="009D3BB9" w:rsidRPr="008C2D03" w:rsidRDefault="009D3BB9" w:rsidP="00126D79">
    <w:pPr>
      <w:pStyle w:val="Footer"/>
      <w:pBdr>
        <w:top w:val="single" w:sz="4" w:space="8" w:color="5B9BD5" w:themeColor="accent1"/>
      </w:pBdr>
      <w:tabs>
        <w:tab w:val="clear" w:pos="4680"/>
      </w:tabs>
      <w:spacing w:before="360"/>
      <w:ind w:right="360"/>
      <w:contextualSpacing/>
      <w:rPr>
        <w:rFonts w:ascii="Century Gothic" w:hAnsi="Century Gothic"/>
        <w:b/>
        <w:noProof/>
        <w:color w:val="404040" w:themeColor="text1" w:themeTint="BF"/>
        <w:sz w:val="20"/>
        <w:szCs w:val="20"/>
      </w:rPr>
    </w:pPr>
    <w:r>
      <w:rPr>
        <w:rFonts w:ascii="Century Gothic" w:hAnsi="Century Gothic"/>
        <w:b/>
        <w:noProof/>
        <w:color w:val="404040" w:themeColor="text1" w:themeTint="BF"/>
        <w:sz w:val="20"/>
        <w:szCs w:val="20"/>
      </w:rPr>
      <w:t xml:space="preserve">UTHSC IRB: </w:t>
    </w:r>
    <w:r w:rsidR="00AC57FB">
      <w:rPr>
        <w:rFonts w:ascii="Century Gothic" w:hAnsi="Century Gothic"/>
        <w:b/>
        <w:noProof/>
        <w:color w:val="404040" w:themeColor="text1" w:themeTint="BF"/>
        <w:sz w:val="20"/>
        <w:szCs w:val="20"/>
      </w:rPr>
      <w:t>Determination of NHSR or Exempt Status</w:t>
    </w:r>
    <w:r>
      <w:rPr>
        <w:rFonts w:ascii="Century Gothic" w:hAnsi="Century Gothic"/>
        <w:b/>
        <w:noProof/>
        <w:color w:val="404040" w:themeColor="text1" w:themeTint="BF"/>
        <w:sz w:val="20"/>
        <w:szCs w:val="20"/>
      </w:rPr>
      <w:t xml:space="preserve"> </w:t>
    </w:r>
    <w:r w:rsidRPr="008C2D03">
      <w:rPr>
        <w:rFonts w:ascii="Century Gothic" w:hAnsi="Century Gothic"/>
        <w:b/>
        <w:noProof/>
        <w:color w:val="404040" w:themeColor="text1" w:themeTint="BF"/>
        <w:sz w:val="20"/>
        <w:szCs w:val="20"/>
      </w:rPr>
      <w:tab/>
    </w:r>
  </w:p>
  <w:p w14:paraId="61829076" w14:textId="77777777" w:rsidR="009D3BB9" w:rsidRPr="008C2D03" w:rsidRDefault="009D3BB9">
    <w:pPr>
      <w:pStyle w:val="Footer"/>
      <w:rPr>
        <w:rFonts w:ascii="Century Gothic" w:hAnsi="Century Gothic"/>
        <w:b/>
        <w:color w:val="C45911" w:themeColor="accent2" w:themeShade="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85409" w14:textId="77777777" w:rsidR="004E065E" w:rsidRDefault="004E065E" w:rsidP="000B2BAB">
      <w:pPr>
        <w:spacing w:after="0" w:line="240" w:lineRule="auto"/>
      </w:pPr>
      <w:r>
        <w:separator/>
      </w:r>
    </w:p>
  </w:footnote>
  <w:footnote w:type="continuationSeparator" w:id="0">
    <w:p w14:paraId="73F63765" w14:textId="77777777" w:rsidR="004E065E" w:rsidRDefault="004E065E" w:rsidP="000B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B655" w14:textId="062D3885" w:rsidR="009D3BB9" w:rsidRPr="000803B1" w:rsidRDefault="009D3BB9" w:rsidP="000803B1">
    <w:pPr>
      <w:tabs>
        <w:tab w:val="center" w:pos="4680"/>
        <w:tab w:val="right" w:pos="9360"/>
      </w:tabs>
      <w:spacing w:after="0" w:line="240" w:lineRule="auto"/>
      <w:jc w:val="center"/>
      <w:rPr>
        <w:rFonts w:ascii="Century Gothic" w:hAnsi="Century Gothic"/>
        <w:b/>
        <w:sz w:val="28"/>
        <w:szCs w:val="28"/>
      </w:rPr>
    </w:pPr>
    <w:r w:rsidRPr="00094489">
      <w:rPr>
        <w:rFonts w:ascii="Century Gothic" w:hAnsi="Century Gothic"/>
        <w:noProof/>
        <w:sz w:val="18"/>
      </w:rPr>
      <w:drawing>
        <wp:anchor distT="0" distB="0" distL="114300" distR="114300" simplePos="0" relativeHeight="251659264" behindDoc="0" locked="0" layoutInCell="1" allowOverlap="1" wp14:anchorId="091F3CCB" wp14:editId="07777777">
          <wp:simplePos x="0" y="0"/>
          <wp:positionH relativeFrom="column">
            <wp:posOffset>-695325</wp:posOffset>
          </wp:positionH>
          <wp:positionV relativeFrom="paragraph">
            <wp:posOffset>-193675</wp:posOffset>
          </wp:positionV>
          <wp:extent cx="1371600" cy="843280"/>
          <wp:effectExtent l="19050" t="0" r="0" b="0"/>
          <wp:wrapThrough wrapText="bothSides">
            <wp:wrapPolygon edited="0">
              <wp:start x="-300" y="0"/>
              <wp:lineTo x="-300" y="20982"/>
              <wp:lineTo x="21600" y="20982"/>
              <wp:lineTo x="21600" y="0"/>
              <wp:lineTo x="-300" y="0"/>
            </wp:wrapPolygon>
          </wp:wrapThrough>
          <wp:docPr id="4" name="Picture 4" descr="UTHSC CAMPUS LOGO CENTE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THSC CAMPUS LOGO CENTERED"/>
                  <pic:cNvPicPr>
                    <a:picLocks noChangeAspect="1" noChangeArrowheads="1"/>
                  </pic:cNvPicPr>
                </pic:nvPicPr>
                <pic:blipFill>
                  <a:blip r:embed="rId1"/>
                  <a:stretch>
                    <a:fillRect/>
                  </a:stretch>
                </pic:blipFill>
                <pic:spPr bwMode="auto">
                  <a:xfrm>
                    <a:off x="0" y="0"/>
                    <a:ext cx="1371600" cy="843280"/>
                  </a:xfrm>
                  <a:prstGeom prst="rect">
                    <a:avLst/>
                  </a:prstGeom>
                  <a:noFill/>
                  <a:ln>
                    <a:noFill/>
                  </a:ln>
                </pic:spPr>
              </pic:pic>
            </a:graphicData>
          </a:graphic>
        </wp:anchor>
      </w:drawing>
    </w:r>
    <w:r w:rsidR="00182D75">
      <w:rPr>
        <w:rFonts w:ascii="Avenir Book" w:hAnsi="Avenir Book"/>
        <w:b/>
        <w:noProof/>
        <w:sz w:val="18"/>
      </w:rPr>
      <mc:AlternateContent>
        <mc:Choice Requires="wps">
          <w:drawing>
            <wp:anchor distT="0" distB="0" distL="114300" distR="114300" simplePos="0" relativeHeight="251662336" behindDoc="0" locked="0" layoutInCell="1" allowOverlap="1" wp14:anchorId="42A06FF1" wp14:editId="17D5F539">
              <wp:simplePos x="0" y="0"/>
              <wp:positionH relativeFrom="column">
                <wp:posOffset>5630545</wp:posOffset>
              </wp:positionH>
              <wp:positionV relativeFrom="paragraph">
                <wp:posOffset>-278130</wp:posOffset>
              </wp:positionV>
              <wp:extent cx="953770" cy="9620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3770" cy="962025"/>
                      </a:xfrm>
                      <a:prstGeom prst="rect">
                        <a:avLst/>
                      </a:prstGeom>
                      <a:noFill/>
                      <a:ln>
                        <a:noFill/>
                      </a:ln>
                      <a:effectLst/>
                    </wps:spPr>
                    <wps:txbx>
                      <w:txbxContent>
                        <w:p w14:paraId="5968B07C" w14:textId="77777777" w:rsidR="009D3BB9" w:rsidRPr="00094489" w:rsidRDefault="009D3BB9" w:rsidP="000803B1">
                          <w:pPr>
                            <w:spacing w:line="240" w:lineRule="auto"/>
                            <w:jc w:val="right"/>
                            <w:rPr>
                              <w:rFonts w:ascii="Century Gothic" w:hAnsi="Century Gothic"/>
                              <w:sz w:val="18"/>
                            </w:rPr>
                          </w:pPr>
                          <w:r w:rsidRPr="00094489">
                            <w:rPr>
                              <w:rFonts w:ascii="Century Gothic" w:hAnsi="Century Gothic"/>
                              <w:sz w:val="18"/>
                            </w:rPr>
                            <w:t>Memphis</w:t>
                          </w:r>
                        </w:p>
                        <w:p w14:paraId="43106ACE" w14:textId="77777777" w:rsidR="009D3BB9" w:rsidRPr="00094489" w:rsidRDefault="009D3BB9" w:rsidP="000803B1">
                          <w:pPr>
                            <w:spacing w:line="240" w:lineRule="auto"/>
                            <w:jc w:val="right"/>
                            <w:rPr>
                              <w:rFonts w:ascii="Century Gothic" w:hAnsi="Century Gothic"/>
                              <w:sz w:val="18"/>
                            </w:rPr>
                          </w:pPr>
                          <w:r w:rsidRPr="00094489">
                            <w:rPr>
                              <w:rFonts w:ascii="Century Gothic" w:hAnsi="Century Gothic"/>
                              <w:sz w:val="18"/>
                            </w:rPr>
                            <w:t>Knoxville</w:t>
                          </w:r>
                        </w:p>
                        <w:p w14:paraId="67CCA7FE" w14:textId="77777777" w:rsidR="009D3BB9" w:rsidRPr="00094489" w:rsidRDefault="009D3BB9" w:rsidP="000803B1">
                          <w:pPr>
                            <w:spacing w:line="240" w:lineRule="auto"/>
                            <w:jc w:val="right"/>
                            <w:rPr>
                              <w:rFonts w:ascii="Century Gothic" w:hAnsi="Century Gothic"/>
                              <w:sz w:val="18"/>
                            </w:rPr>
                          </w:pPr>
                          <w:r w:rsidRPr="00094489">
                            <w:rPr>
                              <w:rFonts w:ascii="Century Gothic" w:hAnsi="Century Gothic"/>
                              <w:sz w:val="18"/>
                            </w:rPr>
                            <w:t>Chattanooga</w:t>
                          </w:r>
                        </w:p>
                        <w:p w14:paraId="6F6F3234" w14:textId="77777777" w:rsidR="009D3BB9" w:rsidRPr="00094489" w:rsidRDefault="009D3BB9" w:rsidP="000803B1">
                          <w:pPr>
                            <w:spacing w:line="360" w:lineRule="auto"/>
                            <w:jc w:val="right"/>
                            <w:rPr>
                              <w:rFonts w:ascii="Century Gothic" w:hAnsi="Century Gothic"/>
                              <w:sz w:val="18"/>
                            </w:rPr>
                          </w:pPr>
                          <w:r w:rsidRPr="00094489">
                            <w:rPr>
                              <w:rFonts w:ascii="Century Gothic" w:hAnsi="Century Gothic"/>
                              <w:sz w:val="18"/>
                            </w:rPr>
                            <w:t>Nashville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A06FF1" id="_x0000_t202" coordsize="21600,21600" o:spt="202" path="m,l,21600r21600,l21600,xe">
              <v:stroke joinstyle="miter"/>
              <v:path gradientshapeok="t" o:connecttype="rect"/>
            </v:shapetype>
            <v:shape id="Text Box 7" o:spid="_x0000_s1026" type="#_x0000_t202" style="position:absolute;left:0;text-align:left;margin-left:443.35pt;margin-top:-21.9pt;width:75.1pt;height:75.7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" filled="f" stroked="f">
              <v:textbox>
                <w:txbxContent>
                  <w:p w14:paraId="5968B07C" w14:textId="77777777" w:rsidR="009D3BB9" w:rsidRPr="00094489" w:rsidRDefault="009D3BB9" w:rsidP="000803B1">
                    <w:pPr>
                      <w:spacing w:line="240" w:lineRule="auto"/>
                      <w:jc w:val="right"/>
                      <w:rPr>
                        <w:rFonts w:ascii="Century Gothic" w:hAnsi="Century Gothic"/>
                        <w:sz w:val="18"/>
                      </w:rPr>
                    </w:pPr>
                    <w:r w:rsidRPr="00094489">
                      <w:rPr>
                        <w:rFonts w:ascii="Century Gothic" w:hAnsi="Century Gothic"/>
                        <w:sz w:val="18"/>
                      </w:rPr>
                      <w:t>Memphis</w:t>
                    </w:r>
                  </w:p>
                  <w:p w14:paraId="43106ACE" w14:textId="77777777" w:rsidR="009D3BB9" w:rsidRPr="00094489" w:rsidRDefault="009D3BB9" w:rsidP="000803B1">
                    <w:pPr>
                      <w:spacing w:line="240" w:lineRule="auto"/>
                      <w:jc w:val="right"/>
                      <w:rPr>
                        <w:rFonts w:ascii="Century Gothic" w:hAnsi="Century Gothic"/>
                        <w:sz w:val="18"/>
                      </w:rPr>
                    </w:pPr>
                    <w:r w:rsidRPr="00094489">
                      <w:rPr>
                        <w:rFonts w:ascii="Century Gothic" w:hAnsi="Century Gothic"/>
                        <w:sz w:val="18"/>
                      </w:rPr>
                      <w:t>Knoxville</w:t>
                    </w:r>
                  </w:p>
                  <w:p w14:paraId="67CCA7FE" w14:textId="77777777" w:rsidR="009D3BB9" w:rsidRPr="00094489" w:rsidRDefault="009D3BB9" w:rsidP="000803B1">
                    <w:pPr>
                      <w:spacing w:line="240" w:lineRule="auto"/>
                      <w:jc w:val="right"/>
                      <w:rPr>
                        <w:rFonts w:ascii="Century Gothic" w:hAnsi="Century Gothic"/>
                        <w:sz w:val="18"/>
                      </w:rPr>
                    </w:pPr>
                    <w:r w:rsidRPr="00094489">
                      <w:rPr>
                        <w:rFonts w:ascii="Century Gothic" w:hAnsi="Century Gothic"/>
                        <w:sz w:val="18"/>
                      </w:rPr>
                      <w:t>Chattanooga</w:t>
                    </w:r>
                  </w:p>
                  <w:p w14:paraId="6F6F3234" w14:textId="77777777" w:rsidR="009D3BB9" w:rsidRPr="00094489" w:rsidRDefault="009D3BB9" w:rsidP="000803B1">
                    <w:pPr>
                      <w:spacing w:line="360" w:lineRule="auto"/>
                      <w:jc w:val="right"/>
                      <w:rPr>
                        <w:rFonts w:ascii="Century Gothic" w:hAnsi="Century Gothic"/>
                        <w:sz w:val="18"/>
                      </w:rPr>
                    </w:pPr>
                    <w:r w:rsidRPr="00094489">
                      <w:rPr>
                        <w:rFonts w:ascii="Century Gothic" w:hAnsi="Century Gothic"/>
                        <w:sz w:val="18"/>
                      </w:rPr>
                      <w:t>Nashville</w:t>
                    </w:r>
                  </w:p>
                </w:txbxContent>
              </v:textbox>
            </v:shape>
          </w:pict>
        </mc:Fallback>
      </mc:AlternateContent>
    </w:r>
    <w:r w:rsidR="5F494C4C" w:rsidRPr="5F494C4C">
      <w:rPr>
        <w:rFonts w:ascii="Century Gothic" w:hAnsi="Century Gothic"/>
        <w:b/>
        <w:bCs/>
        <w:sz w:val="28"/>
        <w:szCs w:val="28"/>
      </w:rPr>
      <w:t>INSTITUTIONAL REVIEW BOARD</w:t>
    </w:r>
  </w:p>
  <w:p w14:paraId="5630AD66" w14:textId="1A8BC814" w:rsidR="009D3BB9" w:rsidRPr="000803B1" w:rsidRDefault="00AC57FB" w:rsidP="00640AC1">
    <w:pPr>
      <w:pStyle w:val="Header"/>
      <w:jc w:val="center"/>
    </w:pPr>
    <w:r>
      <w:rPr>
        <w:rFonts w:ascii="Century Gothic" w:hAnsi="Century Gothic"/>
        <w:b/>
        <w:sz w:val="28"/>
        <w:szCs w:val="28"/>
      </w:rPr>
      <w:t>Determination of NHSR or Exempt Status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75836"/>
    <w:multiLevelType w:val="hybridMultilevel"/>
    <w:tmpl w:val="994ECF7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0B97939"/>
    <w:multiLevelType w:val="hybridMultilevel"/>
    <w:tmpl w:val="A8E83FA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120662"/>
    <w:multiLevelType w:val="hybridMultilevel"/>
    <w:tmpl w:val="F03E2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21513"/>
    <w:multiLevelType w:val="multilevel"/>
    <w:tmpl w:val="30685108"/>
    <w:lvl w:ilvl="0">
      <w:start w:val="1"/>
      <w:numFmt w:val="upperRoman"/>
      <w:lvlText w:val="%1. "/>
      <w:lvlJc w:val="left"/>
      <w:pPr>
        <w:tabs>
          <w:tab w:val="num" w:pos="720"/>
        </w:tabs>
        <w:ind w:left="720" w:hanging="720"/>
      </w:pPr>
      <w:rPr>
        <w:rFonts w:ascii="Times New Roman" w:hAnsi="Times New Roman" w:hint="default"/>
        <w:b/>
        <w:i w:val="0"/>
        <w:sz w:val="24"/>
        <w:u w:val="none"/>
      </w:rPr>
    </w:lvl>
    <w:lvl w:ilvl="1">
      <w:start w:val="1"/>
      <w:numFmt w:val="decimal"/>
      <w:lvlText w:val="%2."/>
      <w:lvlJc w:val="left"/>
      <w:pPr>
        <w:tabs>
          <w:tab w:val="num" w:pos="2160"/>
        </w:tabs>
        <w:ind w:left="2160" w:hanging="720"/>
      </w:pPr>
      <w:rPr>
        <w:rFonts w:hint="default"/>
      </w:rPr>
    </w:lvl>
    <w:lvl w:ilvl="2">
      <w:start w:val="1"/>
      <w:numFmt w:val="lowerRoman"/>
      <w:lvlRestart w:val="0"/>
      <w:lvlText w:val="%3."/>
      <w:lvlJc w:val="left"/>
      <w:pPr>
        <w:tabs>
          <w:tab w:val="num" w:pos="2880"/>
        </w:tabs>
        <w:ind w:left="288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77D66F6"/>
    <w:multiLevelType w:val="multilevel"/>
    <w:tmpl w:val="2DA44BCE"/>
    <w:lvl w:ilvl="0">
      <w:start w:val="2"/>
      <w:numFmt w:val="decimal"/>
      <w:lvlText w:val="%1. "/>
      <w:lvlJc w:val="left"/>
      <w:pPr>
        <w:tabs>
          <w:tab w:val="num" w:pos="1440"/>
        </w:tabs>
        <w:ind w:left="1440" w:hanging="720"/>
      </w:pPr>
      <w:rPr>
        <w:rFonts w:ascii="Times New Roman" w:hAnsi="Times New Roman" w:hint="default"/>
        <w:b/>
        <w:i w:val="0"/>
        <w:sz w:val="24"/>
        <w:u w:val="none"/>
      </w:rPr>
    </w:lvl>
    <w:lvl w:ilvl="1">
      <w:start w:val="2"/>
      <w:numFmt w:val="lowerLetter"/>
      <w:lvlText w:val="%2."/>
      <w:lvlJc w:val="left"/>
      <w:pPr>
        <w:tabs>
          <w:tab w:val="num" w:pos="2160"/>
        </w:tabs>
        <w:ind w:left="2160" w:hanging="720"/>
      </w:pPr>
      <w:rPr>
        <w:rFonts w:hint="default"/>
      </w:rPr>
    </w:lvl>
    <w:lvl w:ilvl="2">
      <w:start w:val="1"/>
      <w:numFmt w:val="lowerRoman"/>
      <w:lvlRestart w:val="0"/>
      <w:lvlText w:val="%3."/>
      <w:lvlJc w:val="left"/>
      <w:pPr>
        <w:tabs>
          <w:tab w:val="num" w:pos="2880"/>
        </w:tabs>
        <w:ind w:left="2880" w:hanging="72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077E13B2"/>
    <w:multiLevelType w:val="hybridMultilevel"/>
    <w:tmpl w:val="16E24890"/>
    <w:lvl w:ilvl="0" w:tplc="9776FB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F95538"/>
    <w:multiLevelType w:val="hybridMultilevel"/>
    <w:tmpl w:val="061A68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AD5E10"/>
    <w:multiLevelType w:val="multilevel"/>
    <w:tmpl w:val="B762B2F8"/>
    <w:lvl w:ilvl="0">
      <w:start w:val="1"/>
      <w:numFmt w:val="decimal"/>
      <w:lvlText w:val="%1. "/>
      <w:lvlJc w:val="left"/>
      <w:pPr>
        <w:tabs>
          <w:tab w:val="num" w:pos="1440"/>
        </w:tabs>
        <w:ind w:left="1440" w:hanging="720"/>
      </w:pPr>
      <w:rPr>
        <w:rFonts w:ascii="Times New Roman" w:hAnsi="Times New Roman" w:hint="default"/>
        <w:b/>
        <w:i w:val="0"/>
        <w:sz w:val="24"/>
        <w:u w:val="none"/>
      </w:rPr>
    </w:lvl>
    <w:lvl w:ilvl="1">
      <w:start w:val="1"/>
      <w:numFmt w:val="lowerLetter"/>
      <w:lvlText w:val="%2."/>
      <w:lvlJc w:val="left"/>
      <w:pPr>
        <w:tabs>
          <w:tab w:val="num" w:pos="2880"/>
        </w:tabs>
        <w:ind w:left="2880" w:hanging="720"/>
      </w:pPr>
      <w:rPr>
        <w:rFonts w:hint="default"/>
      </w:rPr>
    </w:lvl>
    <w:lvl w:ilvl="2">
      <w:start w:val="1"/>
      <w:numFmt w:val="lowerRoman"/>
      <w:lvlRestart w:val="0"/>
      <w:lvlText w:val="%3."/>
      <w:lvlJc w:val="left"/>
      <w:pPr>
        <w:tabs>
          <w:tab w:val="num" w:pos="3600"/>
        </w:tabs>
        <w:ind w:left="3600" w:hanging="720"/>
      </w:pPr>
      <w:rPr>
        <w:rFonts w:hint="default"/>
      </w:rPr>
    </w:lvl>
    <w:lvl w:ilvl="3">
      <w:start w:val="1"/>
      <w:numFmt w:val="decimal"/>
      <w:lvlText w:val="%4."/>
      <w:lvlJc w:val="left"/>
      <w:pPr>
        <w:tabs>
          <w:tab w:val="num" w:pos="3600"/>
        </w:tabs>
        <w:ind w:left="3600" w:hanging="360"/>
      </w:pPr>
      <w:rPr>
        <w:rFonts w:hint="default"/>
      </w:rPr>
    </w:lvl>
    <w:lvl w:ilvl="4">
      <w:start w:val="1"/>
      <w:numFmt w:val="lowerRoman"/>
      <w:lvlText w:val="%5."/>
      <w:lvlJc w:val="righ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 w15:restartNumberingAfterBreak="0">
    <w:nsid w:val="159F31EB"/>
    <w:multiLevelType w:val="hybridMultilevel"/>
    <w:tmpl w:val="1714B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E340F"/>
    <w:multiLevelType w:val="multilevel"/>
    <w:tmpl w:val="238C2A28"/>
    <w:lvl w:ilvl="0">
      <w:start w:val="2"/>
      <w:numFmt w:val="decimal"/>
      <w:lvlText w:val="%1. "/>
      <w:lvlJc w:val="left"/>
      <w:pPr>
        <w:tabs>
          <w:tab w:val="num" w:pos="1440"/>
        </w:tabs>
        <w:ind w:left="1440" w:hanging="720"/>
      </w:pPr>
      <w:rPr>
        <w:rFonts w:ascii="Times New Roman" w:hAnsi="Times New Roman" w:hint="default"/>
        <w:b/>
        <w:i w:val="0"/>
        <w:sz w:val="24"/>
        <w:u w:val="none"/>
      </w:rPr>
    </w:lvl>
    <w:lvl w:ilvl="1">
      <w:start w:val="1"/>
      <w:numFmt w:val="lowerLetter"/>
      <w:lvlText w:val="%2."/>
      <w:lvlJc w:val="left"/>
      <w:pPr>
        <w:tabs>
          <w:tab w:val="num" w:pos="2160"/>
        </w:tabs>
        <w:ind w:left="2160" w:hanging="720"/>
      </w:pPr>
      <w:rPr>
        <w:rFonts w:hint="default"/>
      </w:rPr>
    </w:lvl>
    <w:lvl w:ilvl="2">
      <w:start w:val="1"/>
      <w:numFmt w:val="lowerRoman"/>
      <w:lvlRestart w:val="0"/>
      <w:lvlText w:val="%3."/>
      <w:lvlJc w:val="left"/>
      <w:pPr>
        <w:tabs>
          <w:tab w:val="num" w:pos="2880"/>
        </w:tabs>
        <w:ind w:left="2880" w:hanging="72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1AC07BF9"/>
    <w:multiLevelType w:val="hybridMultilevel"/>
    <w:tmpl w:val="C2CCB9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D504B1"/>
    <w:multiLevelType w:val="multilevel"/>
    <w:tmpl w:val="CF741522"/>
    <w:lvl w:ilvl="0">
      <w:start w:val="5"/>
      <w:numFmt w:val="upperRoman"/>
      <w:lvlText w:val="%1. "/>
      <w:lvlJc w:val="left"/>
      <w:pPr>
        <w:tabs>
          <w:tab w:val="num" w:pos="720"/>
        </w:tabs>
        <w:ind w:left="720" w:hanging="720"/>
      </w:pPr>
      <w:rPr>
        <w:rFonts w:ascii="Times New Roman" w:hAnsi="Times New Roman" w:hint="default"/>
        <w:b/>
        <w:i w:val="0"/>
        <w:sz w:val="24"/>
        <w:u w:val="none"/>
      </w:rPr>
    </w:lvl>
    <w:lvl w:ilvl="1">
      <w:start w:val="5"/>
      <w:numFmt w:val="decimal"/>
      <w:lvlText w:val="%2."/>
      <w:lvlJc w:val="left"/>
      <w:pPr>
        <w:tabs>
          <w:tab w:val="num" w:pos="2160"/>
        </w:tabs>
        <w:ind w:left="2160" w:hanging="720"/>
      </w:pPr>
      <w:rPr>
        <w:rFonts w:hint="default"/>
      </w:rPr>
    </w:lvl>
    <w:lvl w:ilvl="2">
      <w:start w:val="1"/>
      <w:numFmt w:val="lowerRoman"/>
      <w:lvlRestart w:val="0"/>
      <w:lvlText w:val="%3."/>
      <w:lvlJc w:val="left"/>
      <w:pPr>
        <w:tabs>
          <w:tab w:val="num" w:pos="2880"/>
        </w:tabs>
        <w:ind w:left="288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1AE32FF6"/>
    <w:multiLevelType w:val="hybridMultilevel"/>
    <w:tmpl w:val="664CD15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6C21C07"/>
    <w:multiLevelType w:val="multilevel"/>
    <w:tmpl w:val="5BAA245C"/>
    <w:lvl w:ilvl="0">
      <w:start w:val="1"/>
      <w:numFmt w:val="decimal"/>
      <w:lvlText w:val="%1. "/>
      <w:lvlJc w:val="left"/>
      <w:pPr>
        <w:tabs>
          <w:tab w:val="num" w:pos="1440"/>
        </w:tabs>
        <w:ind w:left="1440" w:hanging="720"/>
      </w:pPr>
      <w:rPr>
        <w:rFonts w:ascii="Times New Roman" w:hAnsi="Times New Roman" w:hint="default"/>
        <w:b/>
        <w:i w:val="0"/>
        <w:sz w:val="24"/>
        <w:u w:val="none"/>
      </w:rPr>
    </w:lvl>
    <w:lvl w:ilvl="1">
      <w:start w:val="1"/>
      <w:numFmt w:val="lowerLetter"/>
      <w:lvlText w:val="%2."/>
      <w:lvlJc w:val="left"/>
      <w:pPr>
        <w:tabs>
          <w:tab w:val="num" w:pos="2880"/>
        </w:tabs>
        <w:ind w:left="2880" w:hanging="720"/>
      </w:pPr>
      <w:rPr>
        <w:rFonts w:hint="default"/>
        <w:b w:val="0"/>
      </w:rPr>
    </w:lvl>
    <w:lvl w:ilvl="2">
      <w:start w:val="1"/>
      <w:numFmt w:val="lowerRoman"/>
      <w:lvlRestart w:val="0"/>
      <w:lvlText w:val="%3."/>
      <w:lvlJc w:val="left"/>
      <w:pPr>
        <w:tabs>
          <w:tab w:val="num" w:pos="3600"/>
        </w:tabs>
        <w:ind w:left="3600" w:hanging="72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288946E5"/>
    <w:multiLevelType w:val="hybridMultilevel"/>
    <w:tmpl w:val="A7BE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56DB0"/>
    <w:multiLevelType w:val="hybridMultilevel"/>
    <w:tmpl w:val="D750B07C"/>
    <w:lvl w:ilvl="0" w:tplc="04090019">
      <w:start w:val="1"/>
      <w:numFmt w:val="lowerLetter"/>
      <w:lvlText w:val="%1."/>
      <w:lvlJc w:val="left"/>
      <w:pPr>
        <w:ind w:left="1440" w:hanging="360"/>
      </w:pPr>
      <w:rPr>
        <w:rFonts w:hint="default"/>
      </w:rPr>
    </w:lvl>
    <w:lvl w:ilvl="1" w:tplc="0409001B">
      <w:start w:val="1"/>
      <w:numFmt w:val="lowerRoman"/>
      <w:lvlText w:val="%2."/>
      <w:lvlJc w:val="righ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2F175E"/>
    <w:multiLevelType w:val="hybridMultilevel"/>
    <w:tmpl w:val="5642A08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A519DE"/>
    <w:multiLevelType w:val="multilevel"/>
    <w:tmpl w:val="6E6A734E"/>
    <w:lvl w:ilvl="0">
      <w:start w:val="1"/>
      <w:numFmt w:val="upperRoman"/>
      <w:lvlText w:val="%1. "/>
      <w:lvlJc w:val="left"/>
      <w:pPr>
        <w:tabs>
          <w:tab w:val="num" w:pos="1440"/>
        </w:tabs>
        <w:ind w:left="1080" w:hanging="360"/>
      </w:pPr>
      <w:rPr>
        <w:rFonts w:ascii="Times New Roman" w:hAnsi="Times New Roman" w:hint="default"/>
        <w:b/>
        <w:i w:val="0"/>
        <w:sz w:val="24"/>
        <w:u w:val="none"/>
      </w:rPr>
    </w:lvl>
    <w:lvl w:ilvl="1">
      <w:start w:val="1"/>
      <w:numFmt w:val="decimal"/>
      <w:lvlText w:val="%2."/>
      <w:lvlJc w:val="left"/>
      <w:pPr>
        <w:tabs>
          <w:tab w:val="num" w:pos="1800"/>
        </w:tabs>
        <w:ind w:left="1800" w:hanging="360"/>
      </w:pPr>
      <w:rPr>
        <w:rFonts w:hint="default"/>
      </w:rPr>
    </w:lvl>
    <w:lvl w:ilvl="2">
      <w:start w:val="1"/>
      <w:numFmt w:val="lowerLetter"/>
      <w:lvlRestart w:val="0"/>
      <w:lvlText w:val="%3."/>
      <w:lvlJc w:val="left"/>
      <w:pPr>
        <w:tabs>
          <w:tab w:val="num" w:pos="2520"/>
        </w:tabs>
        <w:ind w:left="2520" w:hanging="54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b w:val="0"/>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FE815E2"/>
    <w:multiLevelType w:val="hybridMultilevel"/>
    <w:tmpl w:val="5A2E17C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31454E34"/>
    <w:multiLevelType w:val="hybridMultilevel"/>
    <w:tmpl w:val="E91A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F6A7D"/>
    <w:multiLevelType w:val="hybridMultilevel"/>
    <w:tmpl w:val="0A84B11C"/>
    <w:lvl w:ilvl="0" w:tplc="04090011">
      <w:start w:val="1"/>
      <w:numFmt w:val="decimal"/>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631D0"/>
    <w:multiLevelType w:val="hybridMultilevel"/>
    <w:tmpl w:val="724EA4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B76F7D"/>
    <w:multiLevelType w:val="hybridMultilevel"/>
    <w:tmpl w:val="BD865D9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DAD62BD"/>
    <w:multiLevelType w:val="hybridMultilevel"/>
    <w:tmpl w:val="8C62145E"/>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E161F6D"/>
    <w:multiLevelType w:val="hybridMultilevel"/>
    <w:tmpl w:val="9174B4E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46D8181A"/>
    <w:multiLevelType w:val="hybridMultilevel"/>
    <w:tmpl w:val="C9C2B052"/>
    <w:lvl w:ilvl="0" w:tplc="7FAEAD66">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15447"/>
    <w:multiLevelType w:val="hybridMultilevel"/>
    <w:tmpl w:val="CE4E452E"/>
    <w:lvl w:ilvl="0" w:tplc="04090019">
      <w:start w:val="1"/>
      <w:numFmt w:val="lowerLetter"/>
      <w:lvlText w:val="%1."/>
      <w:lvlJc w:val="left"/>
      <w:pPr>
        <w:ind w:left="-1170" w:hanging="360"/>
      </w:pPr>
    </w:lvl>
    <w:lvl w:ilvl="1" w:tplc="04090019">
      <w:start w:val="1"/>
      <w:numFmt w:val="lowerLetter"/>
      <w:lvlText w:val="%2."/>
      <w:lvlJc w:val="left"/>
      <w:pPr>
        <w:ind w:left="-450" w:hanging="360"/>
      </w:pPr>
    </w:lvl>
    <w:lvl w:ilvl="2" w:tplc="0409001B">
      <w:start w:val="1"/>
      <w:numFmt w:val="lowerRoman"/>
      <w:lvlText w:val="%3."/>
      <w:lvlJc w:val="right"/>
      <w:pPr>
        <w:ind w:left="270" w:hanging="180"/>
      </w:pPr>
    </w:lvl>
    <w:lvl w:ilvl="3" w:tplc="0409000F">
      <w:start w:val="1"/>
      <w:numFmt w:val="decimal"/>
      <w:lvlText w:val="%4."/>
      <w:lvlJc w:val="left"/>
      <w:pPr>
        <w:ind w:left="990" w:hanging="360"/>
      </w:pPr>
    </w:lvl>
    <w:lvl w:ilvl="4" w:tplc="04090019" w:tentative="1">
      <w:start w:val="1"/>
      <w:numFmt w:val="lowerLetter"/>
      <w:lvlText w:val="%5."/>
      <w:lvlJc w:val="left"/>
      <w:pPr>
        <w:ind w:left="1710" w:hanging="360"/>
      </w:pPr>
    </w:lvl>
    <w:lvl w:ilvl="5" w:tplc="0409001B" w:tentative="1">
      <w:start w:val="1"/>
      <w:numFmt w:val="lowerRoman"/>
      <w:lvlText w:val="%6."/>
      <w:lvlJc w:val="right"/>
      <w:pPr>
        <w:ind w:left="2430" w:hanging="180"/>
      </w:pPr>
    </w:lvl>
    <w:lvl w:ilvl="6" w:tplc="0409000F" w:tentative="1">
      <w:start w:val="1"/>
      <w:numFmt w:val="decimal"/>
      <w:lvlText w:val="%7."/>
      <w:lvlJc w:val="left"/>
      <w:pPr>
        <w:ind w:left="3150" w:hanging="360"/>
      </w:pPr>
    </w:lvl>
    <w:lvl w:ilvl="7" w:tplc="04090019" w:tentative="1">
      <w:start w:val="1"/>
      <w:numFmt w:val="lowerLetter"/>
      <w:lvlText w:val="%8."/>
      <w:lvlJc w:val="left"/>
      <w:pPr>
        <w:ind w:left="3870" w:hanging="360"/>
      </w:pPr>
    </w:lvl>
    <w:lvl w:ilvl="8" w:tplc="0409001B" w:tentative="1">
      <w:start w:val="1"/>
      <w:numFmt w:val="lowerRoman"/>
      <w:lvlText w:val="%9."/>
      <w:lvlJc w:val="right"/>
      <w:pPr>
        <w:ind w:left="4590" w:hanging="180"/>
      </w:pPr>
    </w:lvl>
  </w:abstractNum>
  <w:abstractNum w:abstractNumId="27" w15:restartNumberingAfterBreak="0">
    <w:nsid w:val="513A686E"/>
    <w:multiLevelType w:val="hybridMultilevel"/>
    <w:tmpl w:val="38A2EDE8"/>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4477186"/>
    <w:multiLevelType w:val="hybridMultilevel"/>
    <w:tmpl w:val="F2484A3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137152"/>
    <w:multiLevelType w:val="hybridMultilevel"/>
    <w:tmpl w:val="24067916"/>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7CE3554"/>
    <w:multiLevelType w:val="multilevel"/>
    <w:tmpl w:val="1152EF64"/>
    <w:lvl w:ilvl="0">
      <w:start w:val="1"/>
      <w:numFmt w:val="decimal"/>
      <w:lvlText w:val="%1. "/>
      <w:lvlJc w:val="left"/>
      <w:pPr>
        <w:tabs>
          <w:tab w:val="num" w:pos="1440"/>
        </w:tabs>
        <w:ind w:left="1440" w:hanging="720"/>
      </w:pPr>
      <w:rPr>
        <w:rFonts w:ascii="Times New Roman" w:hAnsi="Times New Roman" w:hint="default"/>
        <w:b w:val="0"/>
        <w:i w:val="0"/>
        <w:sz w:val="24"/>
        <w:u w:val="none"/>
      </w:rPr>
    </w:lvl>
    <w:lvl w:ilvl="1">
      <w:start w:val="1"/>
      <w:numFmt w:val="lowerLetter"/>
      <w:lvlText w:val="%2."/>
      <w:lvlJc w:val="left"/>
      <w:pPr>
        <w:tabs>
          <w:tab w:val="num" w:pos="2340"/>
        </w:tabs>
        <w:ind w:left="2340" w:hanging="720"/>
      </w:pPr>
      <w:rPr>
        <w:rFonts w:hint="default"/>
        <w:sz w:val="24"/>
        <w:szCs w:val="24"/>
      </w:rPr>
    </w:lvl>
    <w:lvl w:ilvl="2">
      <w:start w:val="1"/>
      <w:numFmt w:val="lowerRoman"/>
      <w:lvlRestart w:val="0"/>
      <w:lvlText w:val="%3."/>
      <w:lvlJc w:val="left"/>
      <w:pPr>
        <w:tabs>
          <w:tab w:val="num" w:pos="3600"/>
        </w:tabs>
        <w:ind w:left="3600" w:hanging="72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1" w15:restartNumberingAfterBreak="0">
    <w:nsid w:val="584760D4"/>
    <w:multiLevelType w:val="multilevel"/>
    <w:tmpl w:val="C7686480"/>
    <w:lvl w:ilvl="0">
      <w:start w:val="1"/>
      <w:numFmt w:val="decimal"/>
      <w:lvlText w:val="%1. "/>
      <w:lvlJc w:val="left"/>
      <w:pPr>
        <w:tabs>
          <w:tab w:val="num" w:pos="1440"/>
        </w:tabs>
        <w:ind w:left="1440" w:hanging="720"/>
      </w:pPr>
      <w:rPr>
        <w:rFonts w:ascii="Times New Roman" w:hAnsi="Times New Roman" w:hint="default"/>
        <w:b/>
        <w:i w:val="0"/>
        <w:sz w:val="24"/>
        <w:u w:val="none"/>
      </w:rPr>
    </w:lvl>
    <w:lvl w:ilvl="1">
      <w:start w:val="1"/>
      <w:numFmt w:val="lowerLetter"/>
      <w:lvlText w:val="%2."/>
      <w:lvlJc w:val="left"/>
      <w:pPr>
        <w:tabs>
          <w:tab w:val="num" w:pos="2880"/>
        </w:tabs>
        <w:ind w:left="2880" w:hanging="720"/>
      </w:pPr>
      <w:rPr>
        <w:rFonts w:hint="default"/>
        <w:b w:val="0"/>
      </w:rPr>
    </w:lvl>
    <w:lvl w:ilvl="2">
      <w:start w:val="1"/>
      <w:numFmt w:val="lowerRoman"/>
      <w:lvlText w:val="%3."/>
      <w:lvlJc w:val="right"/>
      <w:pPr>
        <w:tabs>
          <w:tab w:val="num" w:pos="3600"/>
        </w:tabs>
        <w:ind w:left="3600" w:hanging="72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2" w15:restartNumberingAfterBreak="0">
    <w:nsid w:val="5B4A6560"/>
    <w:multiLevelType w:val="hybridMultilevel"/>
    <w:tmpl w:val="B62071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C320A3"/>
    <w:multiLevelType w:val="multilevel"/>
    <w:tmpl w:val="30685108"/>
    <w:lvl w:ilvl="0">
      <w:start w:val="1"/>
      <w:numFmt w:val="upperRoman"/>
      <w:lvlText w:val="%1. "/>
      <w:lvlJc w:val="left"/>
      <w:pPr>
        <w:tabs>
          <w:tab w:val="num" w:pos="720"/>
        </w:tabs>
        <w:ind w:left="720" w:hanging="720"/>
      </w:pPr>
      <w:rPr>
        <w:rFonts w:ascii="Times New Roman" w:hAnsi="Times New Roman" w:hint="default"/>
        <w:b/>
        <w:i w:val="0"/>
        <w:sz w:val="24"/>
        <w:u w:val="none"/>
      </w:rPr>
    </w:lvl>
    <w:lvl w:ilvl="1">
      <w:start w:val="1"/>
      <w:numFmt w:val="decimal"/>
      <w:lvlText w:val="%2."/>
      <w:lvlJc w:val="left"/>
      <w:pPr>
        <w:tabs>
          <w:tab w:val="num" w:pos="2160"/>
        </w:tabs>
        <w:ind w:left="2160" w:hanging="720"/>
      </w:pPr>
      <w:rPr>
        <w:rFonts w:hint="default"/>
      </w:rPr>
    </w:lvl>
    <w:lvl w:ilvl="2">
      <w:start w:val="1"/>
      <w:numFmt w:val="lowerRoman"/>
      <w:lvlRestart w:val="0"/>
      <w:lvlText w:val="%3."/>
      <w:lvlJc w:val="left"/>
      <w:pPr>
        <w:tabs>
          <w:tab w:val="num" w:pos="2880"/>
        </w:tabs>
        <w:ind w:left="288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DE8625A"/>
    <w:multiLevelType w:val="hybridMultilevel"/>
    <w:tmpl w:val="2DB4A1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C30EDB"/>
    <w:multiLevelType w:val="hybridMultilevel"/>
    <w:tmpl w:val="3E8838D2"/>
    <w:lvl w:ilvl="0" w:tplc="3A7AAA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C72C50"/>
    <w:multiLevelType w:val="multilevel"/>
    <w:tmpl w:val="77823934"/>
    <w:lvl w:ilvl="0">
      <w:start w:val="1"/>
      <w:numFmt w:val="decimal"/>
      <w:lvlText w:val="%1. "/>
      <w:lvlJc w:val="left"/>
      <w:pPr>
        <w:tabs>
          <w:tab w:val="num" w:pos="1440"/>
        </w:tabs>
        <w:ind w:left="1440" w:hanging="720"/>
      </w:pPr>
      <w:rPr>
        <w:rFonts w:ascii="Times New Roman" w:hAnsi="Times New Roman" w:hint="default"/>
        <w:b w:val="0"/>
        <w:i w:val="0"/>
        <w:sz w:val="24"/>
        <w:u w:val="none"/>
      </w:rPr>
    </w:lvl>
    <w:lvl w:ilvl="1">
      <w:start w:val="1"/>
      <w:numFmt w:val="lowerRoman"/>
      <w:lvlText w:val="%2."/>
      <w:lvlJc w:val="right"/>
      <w:pPr>
        <w:tabs>
          <w:tab w:val="num" w:pos="2340"/>
        </w:tabs>
        <w:ind w:left="2340" w:hanging="720"/>
      </w:pPr>
      <w:rPr>
        <w:rFonts w:hint="default"/>
        <w:sz w:val="24"/>
        <w:szCs w:val="24"/>
      </w:rPr>
    </w:lvl>
    <w:lvl w:ilvl="2">
      <w:start w:val="1"/>
      <w:numFmt w:val="lowerRoman"/>
      <w:lvlRestart w:val="0"/>
      <w:lvlText w:val="%3."/>
      <w:lvlJc w:val="left"/>
      <w:pPr>
        <w:tabs>
          <w:tab w:val="num" w:pos="3600"/>
        </w:tabs>
        <w:ind w:left="3600" w:hanging="72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7" w15:restartNumberingAfterBreak="0">
    <w:nsid w:val="6CA717A7"/>
    <w:multiLevelType w:val="multilevel"/>
    <w:tmpl w:val="11E8705E"/>
    <w:lvl w:ilvl="0">
      <w:start w:val="1"/>
      <w:numFmt w:val="decimal"/>
      <w:lvlText w:val="%1. "/>
      <w:lvlJc w:val="left"/>
      <w:pPr>
        <w:tabs>
          <w:tab w:val="num" w:pos="1440"/>
        </w:tabs>
        <w:ind w:left="1440" w:hanging="720"/>
      </w:pPr>
      <w:rPr>
        <w:rFonts w:ascii="Times New Roman" w:hAnsi="Times New Roman" w:hint="default"/>
        <w:b w:val="0"/>
        <w:i w:val="0"/>
        <w:sz w:val="24"/>
        <w:u w:val="none"/>
      </w:rPr>
    </w:lvl>
    <w:lvl w:ilvl="1">
      <w:start w:val="1"/>
      <w:numFmt w:val="lowerRoman"/>
      <w:lvlText w:val="%2."/>
      <w:lvlJc w:val="right"/>
      <w:pPr>
        <w:tabs>
          <w:tab w:val="num" w:pos="2340"/>
        </w:tabs>
        <w:ind w:left="2340" w:hanging="720"/>
      </w:pPr>
      <w:rPr>
        <w:rFonts w:hint="default"/>
        <w:sz w:val="24"/>
        <w:szCs w:val="24"/>
      </w:rPr>
    </w:lvl>
    <w:lvl w:ilvl="2">
      <w:start w:val="1"/>
      <w:numFmt w:val="lowerRoman"/>
      <w:lvlRestart w:val="0"/>
      <w:lvlText w:val="%3."/>
      <w:lvlJc w:val="left"/>
      <w:pPr>
        <w:tabs>
          <w:tab w:val="num" w:pos="3600"/>
        </w:tabs>
        <w:ind w:left="3600" w:hanging="72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8" w15:restartNumberingAfterBreak="0">
    <w:nsid w:val="6F294EEE"/>
    <w:multiLevelType w:val="hybridMultilevel"/>
    <w:tmpl w:val="E200D8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D50B6"/>
    <w:multiLevelType w:val="multilevel"/>
    <w:tmpl w:val="37725FA2"/>
    <w:lvl w:ilvl="0">
      <w:start w:val="1"/>
      <w:numFmt w:val="decimal"/>
      <w:lvlText w:val="%1."/>
      <w:lvlJc w:val="left"/>
      <w:pPr>
        <w:tabs>
          <w:tab w:val="num" w:pos="810"/>
        </w:tabs>
        <w:ind w:left="810" w:hanging="360"/>
      </w:pPr>
    </w:lvl>
    <w:lvl w:ilvl="1">
      <w:start w:val="1"/>
      <w:numFmt w:val="bullet"/>
      <w:lvlText w:val=""/>
      <w:lvlJc w:val="left"/>
      <w:pPr>
        <w:tabs>
          <w:tab w:val="num" w:pos="1440"/>
        </w:tabs>
        <w:ind w:left="14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F93E20"/>
    <w:multiLevelType w:val="hybridMultilevel"/>
    <w:tmpl w:val="2C16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B2255"/>
    <w:multiLevelType w:val="multilevel"/>
    <w:tmpl w:val="B50885C4"/>
    <w:lvl w:ilvl="0">
      <w:start w:val="1"/>
      <w:numFmt w:val="upperRoman"/>
      <w:lvlText w:val="%1. "/>
      <w:lvlJc w:val="left"/>
      <w:pPr>
        <w:tabs>
          <w:tab w:val="num" w:pos="1440"/>
        </w:tabs>
        <w:ind w:left="1440" w:hanging="720"/>
      </w:pPr>
      <w:rPr>
        <w:rFonts w:ascii="Times New Roman" w:hAnsi="Times New Roman" w:hint="default"/>
        <w:b w:val="0"/>
        <w:i w:val="0"/>
        <w:sz w:val="24"/>
        <w:u w:val="none"/>
      </w:rPr>
    </w:lvl>
    <w:lvl w:ilvl="1">
      <w:start w:val="1"/>
      <w:numFmt w:val="decimal"/>
      <w:lvlText w:val="%2."/>
      <w:lvlJc w:val="left"/>
      <w:pPr>
        <w:tabs>
          <w:tab w:val="num" w:pos="2160"/>
        </w:tabs>
        <w:ind w:left="2160" w:hanging="720"/>
      </w:pPr>
      <w:rPr>
        <w:rFonts w:hint="default"/>
        <w:b w:val="0"/>
        <w:i w:val="0"/>
      </w:rPr>
    </w:lvl>
    <w:lvl w:ilvl="2">
      <w:start w:val="1"/>
      <w:numFmt w:val="lowerLetter"/>
      <w:lvlText w:val="%3."/>
      <w:lvlJc w:val="left"/>
      <w:pPr>
        <w:tabs>
          <w:tab w:val="num" w:pos="1890"/>
        </w:tabs>
        <w:ind w:left="1890" w:hanging="720"/>
      </w:pPr>
      <w:rPr>
        <w:rFonts w:hint="default"/>
      </w:rPr>
    </w:lvl>
    <w:lvl w:ilvl="3">
      <w:start w:val="1"/>
      <w:numFmt w:val="lowerRoman"/>
      <w:lvlText w:val="%4."/>
      <w:lvlJc w:val="left"/>
      <w:pPr>
        <w:tabs>
          <w:tab w:val="num" w:pos="3600"/>
        </w:tabs>
        <w:ind w:left="3600" w:hanging="720"/>
      </w:pPr>
      <w:rPr>
        <w:rFonts w:hint="default"/>
      </w:rPr>
    </w:lvl>
    <w:lvl w:ilvl="4">
      <w:start w:val="3"/>
      <w:numFmt w:val="decimal"/>
      <w:lvlText w:val="%5)."/>
      <w:lvlJc w:val="left"/>
      <w:pPr>
        <w:tabs>
          <w:tab w:val="num" w:pos="4320"/>
        </w:tabs>
        <w:ind w:left="4320" w:hanging="720"/>
      </w:pPr>
      <w:rPr>
        <w:rFonts w:hint="default"/>
      </w:rPr>
    </w:lvl>
    <w:lvl w:ilvl="5">
      <w:start w:val="1"/>
      <w:numFmt w:val="upperLetter"/>
      <w:lvlText w:val="%6)."/>
      <w:lvlJc w:val="right"/>
      <w:pPr>
        <w:tabs>
          <w:tab w:val="num" w:pos="5760"/>
        </w:tabs>
        <w:ind w:left="5760" w:hanging="72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6AA1E43"/>
    <w:multiLevelType w:val="hybridMultilevel"/>
    <w:tmpl w:val="33F4A2E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3" w15:restartNumberingAfterBreak="0">
    <w:nsid w:val="76F143E9"/>
    <w:multiLevelType w:val="multilevel"/>
    <w:tmpl w:val="ADCABA5C"/>
    <w:lvl w:ilvl="0">
      <w:start w:val="5"/>
      <w:numFmt w:val="upperRoman"/>
      <w:lvlText w:val="%1. "/>
      <w:lvlJc w:val="left"/>
      <w:pPr>
        <w:tabs>
          <w:tab w:val="num" w:pos="720"/>
        </w:tabs>
        <w:ind w:left="720" w:hanging="720"/>
      </w:pPr>
      <w:rPr>
        <w:rFonts w:ascii="Times New Roman" w:hAnsi="Times New Roman" w:hint="default"/>
        <w:b/>
        <w:i w:val="0"/>
        <w:sz w:val="24"/>
        <w:u w:val="none"/>
      </w:rPr>
    </w:lvl>
    <w:lvl w:ilvl="1">
      <w:start w:val="1"/>
      <w:numFmt w:val="decimal"/>
      <w:lvlText w:val="%2."/>
      <w:lvlJc w:val="left"/>
      <w:pPr>
        <w:tabs>
          <w:tab w:val="num" w:pos="2160"/>
        </w:tabs>
        <w:ind w:left="2160" w:hanging="720"/>
      </w:pPr>
      <w:rPr>
        <w:rFonts w:hint="default"/>
      </w:rPr>
    </w:lvl>
    <w:lvl w:ilvl="2">
      <w:start w:val="1"/>
      <w:numFmt w:val="lowerRoman"/>
      <w:lvlRestart w:val="0"/>
      <w:lvlText w:val="%3."/>
      <w:lvlJc w:val="left"/>
      <w:pPr>
        <w:tabs>
          <w:tab w:val="num" w:pos="2880"/>
        </w:tabs>
        <w:ind w:left="288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BA06BA3"/>
    <w:multiLevelType w:val="hybridMultilevel"/>
    <w:tmpl w:val="72803A8E"/>
    <w:lvl w:ilvl="0" w:tplc="3F3090A2">
      <w:start w:val="8"/>
      <w:numFmt w:val="decimal"/>
      <w:lvlText w:val="%1."/>
      <w:lvlJc w:val="left"/>
      <w:pPr>
        <w:tabs>
          <w:tab w:val="num" w:pos="1080"/>
        </w:tabs>
        <w:ind w:left="1080" w:hanging="360"/>
      </w:pPr>
      <w:rPr>
        <w:rFonts w:hint="default"/>
        <w:b/>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76780B08">
      <w:start w:val="1"/>
      <w:numFmt w:val="lowerLetter"/>
      <w:lvlText w:val="%5."/>
      <w:lvlJc w:val="left"/>
      <w:pPr>
        <w:tabs>
          <w:tab w:val="num" w:pos="3960"/>
        </w:tabs>
        <w:ind w:left="3960" w:hanging="360"/>
      </w:pPr>
      <w:rPr>
        <w:b w:val="0"/>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start w:val="1"/>
      <w:numFmt w:val="lowerLetter"/>
      <w:lvlText w:val="%8."/>
      <w:lvlJc w:val="left"/>
      <w:pPr>
        <w:tabs>
          <w:tab w:val="num" w:pos="8730"/>
        </w:tabs>
        <w:ind w:left="873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CF219F5"/>
    <w:multiLevelType w:val="hybridMultilevel"/>
    <w:tmpl w:val="110423A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466002321">
    <w:abstractNumId w:val="32"/>
  </w:num>
  <w:num w:numId="2" w16cid:durableId="834033528">
    <w:abstractNumId w:val="34"/>
  </w:num>
  <w:num w:numId="3" w16cid:durableId="1413703660">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6911417">
    <w:abstractNumId w:val="26"/>
  </w:num>
  <w:num w:numId="5" w16cid:durableId="1667904289">
    <w:abstractNumId w:val="24"/>
  </w:num>
  <w:num w:numId="6" w16cid:durableId="321004621">
    <w:abstractNumId w:val="19"/>
  </w:num>
  <w:num w:numId="7" w16cid:durableId="1412310448">
    <w:abstractNumId w:val="2"/>
  </w:num>
  <w:num w:numId="8" w16cid:durableId="1594779483">
    <w:abstractNumId w:val="40"/>
  </w:num>
  <w:num w:numId="9" w16cid:durableId="1810785057">
    <w:abstractNumId w:val="14"/>
  </w:num>
  <w:num w:numId="10" w16cid:durableId="1098254706">
    <w:abstractNumId w:val="38"/>
  </w:num>
  <w:num w:numId="11" w16cid:durableId="232544271">
    <w:abstractNumId w:val="8"/>
  </w:num>
  <w:num w:numId="12" w16cid:durableId="2056154606">
    <w:abstractNumId w:val="41"/>
  </w:num>
  <w:num w:numId="13" w16cid:durableId="11491784">
    <w:abstractNumId w:val="6"/>
  </w:num>
  <w:num w:numId="14" w16cid:durableId="1571453770">
    <w:abstractNumId w:val="10"/>
  </w:num>
  <w:num w:numId="15" w16cid:durableId="726875879">
    <w:abstractNumId w:val="30"/>
  </w:num>
  <w:num w:numId="16" w16cid:durableId="719477307">
    <w:abstractNumId w:val="37"/>
  </w:num>
  <w:num w:numId="17" w16cid:durableId="1822427486">
    <w:abstractNumId w:val="36"/>
  </w:num>
  <w:num w:numId="18" w16cid:durableId="1277522149">
    <w:abstractNumId w:val="13"/>
  </w:num>
  <w:num w:numId="19" w16cid:durableId="115222532">
    <w:abstractNumId w:val="9"/>
  </w:num>
  <w:num w:numId="20" w16cid:durableId="1585913113">
    <w:abstractNumId w:val="44"/>
  </w:num>
  <w:num w:numId="21" w16cid:durableId="256444936">
    <w:abstractNumId w:val="4"/>
  </w:num>
  <w:num w:numId="22" w16cid:durableId="179902027">
    <w:abstractNumId w:val="7"/>
  </w:num>
  <w:num w:numId="23" w16cid:durableId="2129007738">
    <w:abstractNumId w:val="29"/>
  </w:num>
  <w:num w:numId="24" w16cid:durableId="1947080143">
    <w:abstractNumId w:val="16"/>
  </w:num>
  <w:num w:numId="25" w16cid:durableId="1382174935">
    <w:abstractNumId w:val="12"/>
  </w:num>
  <w:num w:numId="26" w16cid:durableId="1331761144">
    <w:abstractNumId w:val="31"/>
  </w:num>
  <w:num w:numId="27" w16cid:durableId="433986173">
    <w:abstractNumId w:val="17"/>
  </w:num>
  <w:num w:numId="28" w16cid:durableId="22483232">
    <w:abstractNumId w:val="17"/>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1281423">
    <w:abstractNumId w:val="3"/>
  </w:num>
  <w:num w:numId="30" w16cid:durableId="549726413">
    <w:abstractNumId w:val="33"/>
  </w:num>
  <w:num w:numId="31" w16cid:durableId="1932159344">
    <w:abstractNumId w:val="21"/>
  </w:num>
  <w:num w:numId="32" w16cid:durableId="747581531">
    <w:abstractNumId w:val="42"/>
  </w:num>
  <w:num w:numId="33" w16cid:durableId="2092504301">
    <w:abstractNumId w:val="28"/>
  </w:num>
  <w:num w:numId="34" w16cid:durableId="2013602066">
    <w:abstractNumId w:val="43"/>
  </w:num>
  <w:num w:numId="35" w16cid:durableId="1599634758">
    <w:abstractNumId w:val="11"/>
  </w:num>
  <w:num w:numId="36" w16cid:durableId="1166245875">
    <w:abstractNumId w:val="1"/>
  </w:num>
  <w:num w:numId="37" w16cid:durableId="1748188443">
    <w:abstractNumId w:val="5"/>
  </w:num>
  <w:num w:numId="38" w16cid:durableId="1874031997">
    <w:abstractNumId w:val="20"/>
  </w:num>
  <w:num w:numId="39" w16cid:durableId="473067284">
    <w:abstractNumId w:val="22"/>
  </w:num>
  <w:num w:numId="40" w16cid:durableId="887379461">
    <w:abstractNumId w:val="35"/>
  </w:num>
  <w:num w:numId="41" w16cid:durableId="1118450841">
    <w:abstractNumId w:val="15"/>
  </w:num>
  <w:num w:numId="42" w16cid:durableId="568152262">
    <w:abstractNumId w:val="18"/>
  </w:num>
  <w:num w:numId="43" w16cid:durableId="1884097576">
    <w:abstractNumId w:val="45"/>
  </w:num>
  <w:num w:numId="44" w16cid:durableId="54163524">
    <w:abstractNumId w:val="0"/>
  </w:num>
  <w:num w:numId="45" w16cid:durableId="497768964">
    <w:abstractNumId w:val="27"/>
  </w:num>
  <w:num w:numId="46" w16cid:durableId="610477106">
    <w:abstractNumId w:val="23"/>
  </w:num>
  <w:num w:numId="47" w16cid:durableId="99491288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4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AB"/>
    <w:rsid w:val="00030FA9"/>
    <w:rsid w:val="00073E21"/>
    <w:rsid w:val="000803B1"/>
    <w:rsid w:val="00086D73"/>
    <w:rsid w:val="00093483"/>
    <w:rsid w:val="000A06CE"/>
    <w:rsid w:val="000A1ECB"/>
    <w:rsid w:val="000A2465"/>
    <w:rsid w:val="000B2BAB"/>
    <w:rsid w:val="000B2D92"/>
    <w:rsid w:val="000B6AC9"/>
    <w:rsid w:val="000C5369"/>
    <w:rsid w:val="000E70D5"/>
    <w:rsid w:val="00104B53"/>
    <w:rsid w:val="00105AFB"/>
    <w:rsid w:val="001149F1"/>
    <w:rsid w:val="001154FB"/>
    <w:rsid w:val="00124D46"/>
    <w:rsid w:val="00126D79"/>
    <w:rsid w:val="00136A95"/>
    <w:rsid w:val="00142866"/>
    <w:rsid w:val="001436F1"/>
    <w:rsid w:val="00144AFE"/>
    <w:rsid w:val="0016731C"/>
    <w:rsid w:val="001712C5"/>
    <w:rsid w:val="00171F67"/>
    <w:rsid w:val="00182D75"/>
    <w:rsid w:val="00185363"/>
    <w:rsid w:val="00195E09"/>
    <w:rsid w:val="00197485"/>
    <w:rsid w:val="001A5FE5"/>
    <w:rsid w:val="001B5781"/>
    <w:rsid w:val="001D3398"/>
    <w:rsid w:val="001E0B58"/>
    <w:rsid w:val="001E3F76"/>
    <w:rsid w:val="001F566E"/>
    <w:rsid w:val="00250334"/>
    <w:rsid w:val="0025481D"/>
    <w:rsid w:val="002759B3"/>
    <w:rsid w:val="002C763E"/>
    <w:rsid w:val="002D41F4"/>
    <w:rsid w:val="002E34E7"/>
    <w:rsid w:val="002F7154"/>
    <w:rsid w:val="00331088"/>
    <w:rsid w:val="00344B5F"/>
    <w:rsid w:val="00361CEB"/>
    <w:rsid w:val="003B08D9"/>
    <w:rsid w:val="003C43AF"/>
    <w:rsid w:val="003D5BB4"/>
    <w:rsid w:val="003F6C24"/>
    <w:rsid w:val="00401C25"/>
    <w:rsid w:val="00414245"/>
    <w:rsid w:val="00426F92"/>
    <w:rsid w:val="004352A8"/>
    <w:rsid w:val="004510A7"/>
    <w:rsid w:val="00466C87"/>
    <w:rsid w:val="0047638F"/>
    <w:rsid w:val="0049153E"/>
    <w:rsid w:val="00494502"/>
    <w:rsid w:val="00495FA1"/>
    <w:rsid w:val="004966D0"/>
    <w:rsid w:val="00497608"/>
    <w:rsid w:val="004C18AE"/>
    <w:rsid w:val="004E065E"/>
    <w:rsid w:val="00511844"/>
    <w:rsid w:val="00525400"/>
    <w:rsid w:val="005709E5"/>
    <w:rsid w:val="005720A9"/>
    <w:rsid w:val="00584832"/>
    <w:rsid w:val="005916C6"/>
    <w:rsid w:val="0059312B"/>
    <w:rsid w:val="005B5555"/>
    <w:rsid w:val="005C2680"/>
    <w:rsid w:val="005C6A4C"/>
    <w:rsid w:val="005C7C3A"/>
    <w:rsid w:val="00613394"/>
    <w:rsid w:val="00634387"/>
    <w:rsid w:val="00640AC1"/>
    <w:rsid w:val="006638FE"/>
    <w:rsid w:val="006A1B58"/>
    <w:rsid w:val="006E4171"/>
    <w:rsid w:val="007037FF"/>
    <w:rsid w:val="007116AF"/>
    <w:rsid w:val="00722875"/>
    <w:rsid w:val="0074717C"/>
    <w:rsid w:val="00762BFC"/>
    <w:rsid w:val="00781500"/>
    <w:rsid w:val="00796542"/>
    <w:rsid w:val="007B2C4E"/>
    <w:rsid w:val="007B4FB4"/>
    <w:rsid w:val="007C7B0F"/>
    <w:rsid w:val="007E255B"/>
    <w:rsid w:val="007E6CBF"/>
    <w:rsid w:val="007F7A5B"/>
    <w:rsid w:val="00800641"/>
    <w:rsid w:val="008148A5"/>
    <w:rsid w:val="00830315"/>
    <w:rsid w:val="00854FD1"/>
    <w:rsid w:val="0086694D"/>
    <w:rsid w:val="00872DAF"/>
    <w:rsid w:val="008822CF"/>
    <w:rsid w:val="00887DE5"/>
    <w:rsid w:val="00892A9A"/>
    <w:rsid w:val="008A10D7"/>
    <w:rsid w:val="008A1C9C"/>
    <w:rsid w:val="008A37DC"/>
    <w:rsid w:val="008C2D03"/>
    <w:rsid w:val="00923B9E"/>
    <w:rsid w:val="0093077A"/>
    <w:rsid w:val="00935A6C"/>
    <w:rsid w:val="00944556"/>
    <w:rsid w:val="00961740"/>
    <w:rsid w:val="00966B68"/>
    <w:rsid w:val="0097015F"/>
    <w:rsid w:val="009747EB"/>
    <w:rsid w:val="00996230"/>
    <w:rsid w:val="009A2DB3"/>
    <w:rsid w:val="009C0237"/>
    <w:rsid w:val="009D3BB9"/>
    <w:rsid w:val="009F12F8"/>
    <w:rsid w:val="00A10830"/>
    <w:rsid w:val="00A14C27"/>
    <w:rsid w:val="00A42E22"/>
    <w:rsid w:val="00A5353D"/>
    <w:rsid w:val="00A551CF"/>
    <w:rsid w:val="00A64C25"/>
    <w:rsid w:val="00A6558D"/>
    <w:rsid w:val="00A65B3A"/>
    <w:rsid w:val="00A71656"/>
    <w:rsid w:val="00A75464"/>
    <w:rsid w:val="00A842EF"/>
    <w:rsid w:val="00A85312"/>
    <w:rsid w:val="00A8583A"/>
    <w:rsid w:val="00A903FF"/>
    <w:rsid w:val="00AB04D0"/>
    <w:rsid w:val="00AC57FB"/>
    <w:rsid w:val="00B2573D"/>
    <w:rsid w:val="00B337EA"/>
    <w:rsid w:val="00B66931"/>
    <w:rsid w:val="00B93E3E"/>
    <w:rsid w:val="00BD1F86"/>
    <w:rsid w:val="00BD4EA3"/>
    <w:rsid w:val="00BF5FBB"/>
    <w:rsid w:val="00C244A4"/>
    <w:rsid w:val="00C851E4"/>
    <w:rsid w:val="00CA6B10"/>
    <w:rsid w:val="00CB5743"/>
    <w:rsid w:val="00CD3B07"/>
    <w:rsid w:val="00CD7001"/>
    <w:rsid w:val="00CE15A4"/>
    <w:rsid w:val="00CF4CDB"/>
    <w:rsid w:val="00D30728"/>
    <w:rsid w:val="00D46532"/>
    <w:rsid w:val="00D66728"/>
    <w:rsid w:val="00D729E1"/>
    <w:rsid w:val="00D73530"/>
    <w:rsid w:val="00D7787D"/>
    <w:rsid w:val="00D80DF1"/>
    <w:rsid w:val="00DE1E46"/>
    <w:rsid w:val="00E55CDC"/>
    <w:rsid w:val="00E72791"/>
    <w:rsid w:val="00E90BEC"/>
    <w:rsid w:val="00ED14C9"/>
    <w:rsid w:val="00EE61EC"/>
    <w:rsid w:val="00EE66B8"/>
    <w:rsid w:val="00F05EF3"/>
    <w:rsid w:val="00F06A7F"/>
    <w:rsid w:val="00F1026F"/>
    <w:rsid w:val="00F3579A"/>
    <w:rsid w:val="00F54AE1"/>
    <w:rsid w:val="00F66131"/>
    <w:rsid w:val="00FA59DF"/>
    <w:rsid w:val="00FB20FE"/>
    <w:rsid w:val="00FB2C44"/>
    <w:rsid w:val="00FD04CC"/>
    <w:rsid w:val="5F494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F182C6"/>
  <w15:docId w15:val="{0EBD2DB2-0A4E-43FB-A1C5-2BAA912F5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C4E"/>
  </w:style>
  <w:style w:type="paragraph" w:styleId="Heading1">
    <w:name w:val="heading 1"/>
    <w:basedOn w:val="Normal"/>
    <w:link w:val="Heading1Char"/>
    <w:uiPriority w:val="9"/>
    <w:qFormat/>
    <w:rsid w:val="00144A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4763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F357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B2BAB"/>
    <w:pPr>
      <w:tabs>
        <w:tab w:val="center" w:pos="4680"/>
        <w:tab w:val="right" w:pos="9360"/>
      </w:tabs>
      <w:spacing w:after="0" w:line="240" w:lineRule="auto"/>
    </w:pPr>
  </w:style>
  <w:style w:type="character" w:customStyle="1" w:styleId="HeaderChar">
    <w:name w:val="Header Char"/>
    <w:basedOn w:val="DefaultParagraphFont"/>
    <w:link w:val="Header"/>
    <w:rsid w:val="000B2BAB"/>
  </w:style>
  <w:style w:type="paragraph" w:styleId="Footer">
    <w:name w:val="footer"/>
    <w:basedOn w:val="Normal"/>
    <w:link w:val="FooterChar"/>
    <w:uiPriority w:val="99"/>
    <w:unhideWhenUsed/>
    <w:qFormat/>
    <w:rsid w:val="000B2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BAB"/>
  </w:style>
  <w:style w:type="character" w:styleId="Strong">
    <w:name w:val="Strong"/>
    <w:basedOn w:val="DefaultParagraphFont"/>
    <w:uiPriority w:val="22"/>
    <w:qFormat/>
    <w:rsid w:val="000B2BAB"/>
    <w:rPr>
      <w:b/>
      <w:bCs/>
    </w:rPr>
  </w:style>
  <w:style w:type="table" w:styleId="TableGrid">
    <w:name w:val="Table Grid"/>
    <w:basedOn w:val="TableNormal"/>
    <w:uiPriority w:val="59"/>
    <w:rsid w:val="000B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5848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E55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CDC"/>
    <w:rPr>
      <w:rFonts w:ascii="Segoe UI" w:hAnsi="Segoe UI" w:cs="Segoe UI"/>
      <w:sz w:val="18"/>
      <w:szCs w:val="18"/>
    </w:rPr>
  </w:style>
  <w:style w:type="paragraph" w:styleId="ListParagraph">
    <w:name w:val="List Paragraph"/>
    <w:basedOn w:val="Normal"/>
    <w:uiPriority w:val="34"/>
    <w:qFormat/>
    <w:rsid w:val="000B6AC9"/>
    <w:pPr>
      <w:spacing w:after="0" w:line="240" w:lineRule="auto"/>
      <w:ind w:left="720"/>
      <w:contextualSpacing/>
    </w:pPr>
  </w:style>
  <w:style w:type="character" w:styleId="Hyperlink">
    <w:name w:val="Hyperlink"/>
    <w:basedOn w:val="DefaultParagraphFont"/>
    <w:uiPriority w:val="99"/>
    <w:unhideWhenUsed/>
    <w:rsid w:val="000B6AC9"/>
    <w:rPr>
      <w:color w:val="0563C1" w:themeColor="hyperlink"/>
      <w:u w:val="single"/>
    </w:rPr>
  </w:style>
  <w:style w:type="paragraph" w:styleId="NormalWeb">
    <w:name w:val="Normal (Web)"/>
    <w:basedOn w:val="Normal"/>
    <w:uiPriority w:val="99"/>
    <w:unhideWhenUsed/>
    <w:rsid w:val="000B6AC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87DE5"/>
    <w:rPr>
      <w:color w:val="954F72" w:themeColor="followedHyperlink"/>
      <w:u w:val="single"/>
    </w:rPr>
  </w:style>
  <w:style w:type="character" w:customStyle="1" w:styleId="Heading1Char">
    <w:name w:val="Heading 1 Char"/>
    <w:basedOn w:val="DefaultParagraphFont"/>
    <w:link w:val="Heading1"/>
    <w:uiPriority w:val="9"/>
    <w:rsid w:val="00144AFE"/>
    <w:rPr>
      <w:rFonts w:ascii="Times New Roman" w:eastAsia="Times New Roman" w:hAnsi="Times New Roman" w:cs="Times New Roman"/>
      <w:b/>
      <w:bCs/>
      <w:kern w:val="36"/>
      <w:sz w:val="48"/>
      <w:szCs w:val="48"/>
    </w:rPr>
  </w:style>
  <w:style w:type="character" w:styleId="PlaceholderText">
    <w:name w:val="Placeholder Text"/>
    <w:basedOn w:val="DefaultParagraphFont"/>
    <w:uiPriority w:val="99"/>
    <w:semiHidden/>
    <w:rsid w:val="00494502"/>
    <w:rPr>
      <w:color w:val="808080"/>
    </w:rPr>
  </w:style>
  <w:style w:type="paragraph" w:styleId="BodyTextIndent2">
    <w:name w:val="Body Text Indent 2"/>
    <w:basedOn w:val="Normal"/>
    <w:link w:val="BodyTextIndent2Char"/>
    <w:rsid w:val="00126D79"/>
    <w:pPr>
      <w:spacing w:after="0" w:line="240" w:lineRule="auto"/>
      <w:ind w:left="144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126D79"/>
    <w:rPr>
      <w:rFonts w:ascii="Times New Roman" w:eastAsia="Times New Roman" w:hAnsi="Times New Roman" w:cs="Times New Roman"/>
      <w:szCs w:val="20"/>
    </w:rPr>
  </w:style>
  <w:style w:type="character" w:styleId="PageNumber">
    <w:name w:val="page number"/>
    <w:basedOn w:val="DefaultParagraphFont"/>
    <w:uiPriority w:val="99"/>
    <w:semiHidden/>
    <w:unhideWhenUsed/>
    <w:rsid w:val="00126D79"/>
  </w:style>
  <w:style w:type="character" w:styleId="CommentReference">
    <w:name w:val="annotation reference"/>
    <w:basedOn w:val="DefaultParagraphFont"/>
    <w:uiPriority w:val="99"/>
    <w:semiHidden/>
    <w:unhideWhenUsed/>
    <w:rsid w:val="00126D79"/>
    <w:rPr>
      <w:sz w:val="16"/>
      <w:szCs w:val="16"/>
    </w:rPr>
  </w:style>
  <w:style w:type="paragraph" w:styleId="CommentText">
    <w:name w:val="annotation text"/>
    <w:basedOn w:val="Normal"/>
    <w:link w:val="CommentTextChar"/>
    <w:uiPriority w:val="99"/>
    <w:semiHidden/>
    <w:unhideWhenUsed/>
    <w:rsid w:val="00126D79"/>
    <w:pPr>
      <w:spacing w:after="0" w:line="240" w:lineRule="auto"/>
    </w:pPr>
    <w:rPr>
      <w:rFonts w:ascii="Times" w:eastAsia="Times" w:hAnsi="Times" w:cs="Times New Roman"/>
      <w:sz w:val="20"/>
      <w:szCs w:val="20"/>
    </w:rPr>
  </w:style>
  <w:style w:type="character" w:customStyle="1" w:styleId="CommentTextChar">
    <w:name w:val="Comment Text Char"/>
    <w:basedOn w:val="DefaultParagraphFont"/>
    <w:link w:val="CommentText"/>
    <w:uiPriority w:val="99"/>
    <w:semiHidden/>
    <w:rsid w:val="00126D79"/>
    <w:rPr>
      <w:rFonts w:ascii="Times" w:eastAsia="Times" w:hAnsi="Times" w:cs="Times New Roman"/>
      <w:sz w:val="20"/>
      <w:szCs w:val="20"/>
    </w:rPr>
  </w:style>
  <w:style w:type="paragraph" w:customStyle="1" w:styleId="ColorfulList-Accent11">
    <w:name w:val="Colorful List - Accent 11"/>
    <w:basedOn w:val="Normal"/>
    <w:uiPriority w:val="34"/>
    <w:qFormat/>
    <w:rsid w:val="001149F1"/>
    <w:pPr>
      <w:spacing w:after="0" w:line="240" w:lineRule="auto"/>
      <w:ind w:left="720"/>
      <w:contextualSpacing/>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90BEC"/>
    <w:rPr>
      <w:color w:val="605E5C"/>
      <w:shd w:val="clear" w:color="auto" w:fill="E1DFDD"/>
    </w:rPr>
  </w:style>
  <w:style w:type="character" w:styleId="UnresolvedMention">
    <w:name w:val="Unresolved Mention"/>
    <w:basedOn w:val="DefaultParagraphFont"/>
    <w:uiPriority w:val="99"/>
    <w:semiHidden/>
    <w:unhideWhenUsed/>
    <w:rsid w:val="00640AC1"/>
    <w:rPr>
      <w:color w:val="605E5C"/>
      <w:shd w:val="clear" w:color="auto" w:fill="E1DFDD"/>
    </w:rPr>
  </w:style>
  <w:style w:type="character" w:customStyle="1" w:styleId="Heading4Char">
    <w:name w:val="Heading 4 Char"/>
    <w:basedOn w:val="DefaultParagraphFont"/>
    <w:link w:val="Heading4"/>
    <w:uiPriority w:val="9"/>
    <w:semiHidden/>
    <w:rsid w:val="00F3579A"/>
    <w:rPr>
      <w:rFonts w:asciiTheme="majorHAnsi" w:eastAsiaTheme="majorEastAsia" w:hAnsiTheme="majorHAnsi" w:cstheme="majorBidi"/>
      <w:i/>
      <w:iCs/>
      <w:color w:val="2E74B5" w:themeColor="accent1" w:themeShade="BF"/>
    </w:rPr>
  </w:style>
  <w:style w:type="character" w:customStyle="1" w:styleId="apple-converted-space">
    <w:name w:val="apple-converted-space"/>
    <w:basedOn w:val="DefaultParagraphFont"/>
    <w:rsid w:val="00EE66B8"/>
  </w:style>
  <w:style w:type="character" w:customStyle="1" w:styleId="Heading3Char">
    <w:name w:val="Heading 3 Char"/>
    <w:basedOn w:val="DefaultParagraphFont"/>
    <w:link w:val="Heading3"/>
    <w:uiPriority w:val="9"/>
    <w:semiHidden/>
    <w:rsid w:val="0047638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po.gov/fdsys/pkg/CFR-2016-title45-vol1/pdf/CFR-2016-title45-vol1-part46.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po.gov/fdsys/pkg/CFR-2016-title45-vol1/pdf/CFR-2016-title45-vol1-part46.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hs.gov/ohrp/policy/cdebiol.html" TargetMode="External"/><Relationship Id="rId4" Type="http://schemas.openxmlformats.org/officeDocument/2006/relationships/settings" Target="settings.xml"/><Relationship Id="rId9" Type="http://schemas.openxmlformats.org/officeDocument/2006/relationships/hyperlink" Target="http://www.hhs.gov/ohrp/regulations-and-policy/guidance/faq/exempt-research-determinatio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F0DE7-7BB1-4D79-AD26-03060F88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4127</Words>
  <Characters>23528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XXXXXX PROCEDURE {CAPS/BOLD Font=Century Gothic 14}</vt:lpstr>
    </vt:vector>
  </TitlesOfParts>
  <Company>University of Tennessee</Company>
  <LinksUpToDate>false</LinksUpToDate>
  <CharactersWithSpaces>27600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 PROCEDURE {CAPS/BOLD Font=Century Gothic 14}</dc:title>
  <dc:subject>Number – Title {Bold, Font=Century Gothic 14}</dc:subject>
  <dc:creator>Burlison, Melanie Lynn</dc:creator>
  <cp:keywords/>
  <dc:description/>
  <cp:lastModifiedBy>Barclay, Cameron A</cp:lastModifiedBy>
  <cp:revision>5</cp:revision>
  <cp:lastPrinted>2016-03-17T21:02:00Z</cp:lastPrinted>
  <dcterms:created xsi:type="dcterms:W3CDTF">2022-06-07T20:13:00Z</dcterms:created>
  <dcterms:modified xsi:type="dcterms:W3CDTF">2022-06-08T22:19:00Z</dcterms:modified>
</cp:coreProperties>
</file>