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6EFE" w14:textId="77777777" w:rsidR="000241BD" w:rsidRPr="00C71D6E" w:rsidRDefault="000241BD" w:rsidP="000241BD">
      <w:pPr>
        <w:pStyle w:val="BasicParagraph"/>
        <w:tabs>
          <w:tab w:val="left" w:pos="-720"/>
        </w:tabs>
        <w:rPr>
          <w:rFonts w:ascii="Arial" w:hAnsi="Arial" w:cs="Arial"/>
          <w:sz w:val="22"/>
          <w:szCs w:val="22"/>
          <w:vertAlign w:val="subscript"/>
        </w:rPr>
      </w:pPr>
    </w:p>
    <w:p w14:paraId="6DEBB2EE" w14:textId="77777777" w:rsidR="000241BD" w:rsidRPr="00A11D0B" w:rsidRDefault="000241BD" w:rsidP="000241BD">
      <w:pPr>
        <w:pStyle w:val="BasicParagraph"/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063C3832" w14:textId="77777777" w:rsidR="000241BD" w:rsidRPr="00A11D0B" w:rsidRDefault="000241BD" w:rsidP="000241BD">
      <w:pPr>
        <w:pStyle w:val="BasicParagraph"/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7F8B4C32" w14:textId="200F859D" w:rsidR="0090537E" w:rsidRPr="004A4678" w:rsidRDefault="0016515C" w:rsidP="004A4678">
      <w:pPr>
        <w:pStyle w:val="Heading1"/>
        <w:jc w:val="center"/>
        <w:rPr>
          <w:rStyle w:val="IntenseReference"/>
          <w:rFonts w:ascii="Cambria" w:hAnsi="Cambria"/>
        </w:rPr>
      </w:pPr>
      <w:r w:rsidRPr="004A4678">
        <w:rPr>
          <w:rStyle w:val="IntenseReference"/>
          <w:rFonts w:ascii="Cambria" w:hAnsi="Cambria"/>
        </w:rPr>
        <w:t>UTHSC SALARY INCREASE GUIDELINES</w:t>
      </w:r>
    </w:p>
    <w:p w14:paraId="3817464B" w14:textId="77777777" w:rsidR="0016515C" w:rsidRDefault="0016515C" w:rsidP="004A4678">
      <w:pPr>
        <w:pStyle w:val="Heading1"/>
        <w:spacing w:before="120"/>
        <w:jc w:val="center"/>
        <w:rPr>
          <w:rStyle w:val="IntenseReference"/>
          <w:rFonts w:ascii="Cambria" w:hAnsi="Cambria"/>
        </w:rPr>
      </w:pPr>
    </w:p>
    <w:p w14:paraId="37EC1FD1" w14:textId="0E85A4FD" w:rsidR="002E5BBE" w:rsidRPr="00BB002A" w:rsidRDefault="002E5BBE" w:rsidP="004A4678">
      <w:pPr>
        <w:pStyle w:val="Heading1"/>
        <w:spacing w:before="120"/>
        <w:jc w:val="center"/>
        <w:rPr>
          <w:rStyle w:val="IntenseReference"/>
          <w:rFonts w:ascii="Cambria" w:hAnsi="Cambria"/>
        </w:rPr>
      </w:pPr>
      <w:r w:rsidRPr="00BB002A">
        <w:rPr>
          <w:rStyle w:val="IntenseReference"/>
          <w:rFonts w:ascii="Cambria" w:hAnsi="Cambria"/>
        </w:rPr>
        <w:t xml:space="preserve">FY 2021 </w:t>
      </w:r>
      <w:r w:rsidR="00BB002A" w:rsidRPr="00BB002A">
        <w:rPr>
          <w:rStyle w:val="IntenseReference"/>
          <w:rFonts w:ascii="Cambria" w:hAnsi="Cambria"/>
        </w:rPr>
        <w:t xml:space="preserve">Non-Recurring </w:t>
      </w:r>
      <w:r w:rsidRPr="00BB002A">
        <w:rPr>
          <w:rStyle w:val="IntenseReference"/>
          <w:rFonts w:ascii="Cambria" w:hAnsi="Cambria"/>
        </w:rPr>
        <w:t>Additional Payment</w:t>
      </w:r>
    </w:p>
    <w:p w14:paraId="434B309B" w14:textId="77777777" w:rsidR="00BB002A" w:rsidRDefault="00BB002A" w:rsidP="00BB002A"/>
    <w:p w14:paraId="36948DD0" w14:textId="6FF0708D" w:rsidR="00BB002A" w:rsidRDefault="006045EA" w:rsidP="0016515C">
      <w:pPr>
        <w:ind w:firstLine="720"/>
        <w:jc w:val="both"/>
      </w:pPr>
      <w:r>
        <w:rPr>
          <w:rFonts w:eastAsia="Calibri"/>
        </w:rPr>
        <w:t xml:space="preserve">The Health Science Center will fund </w:t>
      </w:r>
      <w:r w:rsidR="00CE7D5F">
        <w:rPr>
          <w:rFonts w:eastAsia="Calibri"/>
        </w:rPr>
        <w:t xml:space="preserve">a </w:t>
      </w:r>
      <w:r w:rsidR="00BB002A">
        <w:t xml:space="preserve">general faculty and staff salary </w:t>
      </w:r>
      <w:r w:rsidR="0016515C">
        <w:t>payment</w:t>
      </w:r>
      <w:r w:rsidR="00BB002A">
        <w:t xml:space="preserve"> of 1% across-the-board for full-time and part-time regular staff and faculty who were employed on January 1, 2021.</w:t>
      </w:r>
    </w:p>
    <w:p w14:paraId="7C1146CA" w14:textId="77777777" w:rsidR="00BB002A" w:rsidRDefault="00BB002A" w:rsidP="0016515C">
      <w:pPr>
        <w:jc w:val="both"/>
        <w:rPr>
          <w:rFonts w:eastAsia="Calibri"/>
        </w:rPr>
      </w:pPr>
    </w:p>
    <w:p w14:paraId="3DD5B89B" w14:textId="77777777" w:rsidR="00BB002A" w:rsidRPr="00770995" w:rsidRDefault="00BB002A" w:rsidP="0016515C">
      <w:pPr>
        <w:jc w:val="both"/>
        <w:rPr>
          <w:rFonts w:eastAsia="Calibri"/>
          <w:b/>
        </w:rPr>
      </w:pPr>
      <w:r w:rsidRPr="00770995">
        <w:rPr>
          <w:rFonts w:eastAsia="Calibri"/>
          <w:b/>
        </w:rPr>
        <w:t>General Guidance and Exclusions</w:t>
      </w:r>
    </w:p>
    <w:p w14:paraId="4B17EAA6" w14:textId="77777777" w:rsidR="00BB002A" w:rsidRDefault="00BB002A" w:rsidP="0016515C">
      <w:pPr>
        <w:jc w:val="both"/>
      </w:pPr>
    </w:p>
    <w:p w14:paraId="6F91C20F" w14:textId="32A20844" w:rsidR="00BB002A" w:rsidRDefault="00BB002A" w:rsidP="00F12305">
      <w:pPr>
        <w:ind w:firstLine="720"/>
        <w:jc w:val="both"/>
      </w:pPr>
      <w:r>
        <w:t xml:space="preserve">The </w:t>
      </w:r>
      <w:r w:rsidR="00F12305">
        <w:t xml:space="preserve">UT System </w:t>
      </w:r>
      <w:r>
        <w:t xml:space="preserve">Payroll Office will centrally institute the process for issuing these </w:t>
      </w:r>
      <w:r w:rsidR="007413E6">
        <w:t>across-the-board</w:t>
      </w:r>
      <w:r>
        <w:t xml:space="preserve"> payments based on current salaries of all eligible employees employed on January 1, </w:t>
      </w:r>
      <w:proofErr w:type="gramStart"/>
      <w:r>
        <w:t>2021</w:t>
      </w:r>
      <w:proofErr w:type="gramEnd"/>
      <w:r>
        <w:t xml:space="preserve"> for </w:t>
      </w:r>
      <w:r w:rsidRPr="009B5423">
        <w:rPr>
          <w:b/>
          <w:bCs/>
        </w:rPr>
        <w:t>1HRL</w:t>
      </w:r>
      <w:r>
        <w:t xml:space="preserve"> and </w:t>
      </w:r>
      <w:r w:rsidRPr="009B5423">
        <w:rPr>
          <w:b/>
          <w:bCs/>
        </w:rPr>
        <w:t>1REG</w:t>
      </w:r>
      <w:r>
        <w:t xml:space="preserve"> wage types with exclusions</w:t>
      </w:r>
      <w:r w:rsidR="009B5423">
        <w:t xml:space="preserve"> noted below</w:t>
      </w:r>
      <w:r>
        <w:t>.</w:t>
      </w:r>
      <w:r w:rsidR="009B5423">
        <w:t xml:space="preserve"> </w:t>
      </w:r>
      <w:r>
        <w:t xml:space="preserve"> Self-funded E&amp;G, auxiliaries, and restricted funds are required to implement the increase, according to the guidelines, and provide the necessary funds.  The budget office will help to coordinate the appropriate funding sources for a June 17, </w:t>
      </w:r>
      <w:proofErr w:type="gramStart"/>
      <w:r>
        <w:t>2021</w:t>
      </w:r>
      <w:proofErr w:type="gramEnd"/>
      <w:r>
        <w:t xml:space="preserve"> payout. </w:t>
      </w:r>
    </w:p>
    <w:p w14:paraId="45CEBEE5" w14:textId="77777777" w:rsidR="00BB002A" w:rsidRDefault="00BB002A" w:rsidP="0016515C">
      <w:pPr>
        <w:jc w:val="both"/>
      </w:pPr>
    </w:p>
    <w:p w14:paraId="277E445D" w14:textId="77777777" w:rsidR="00BB002A" w:rsidRDefault="00BB002A" w:rsidP="0016515C">
      <w:pPr>
        <w:jc w:val="both"/>
      </w:pPr>
      <w:r>
        <w:t>This non-recurring salary plan will have the following exclusions:</w:t>
      </w:r>
    </w:p>
    <w:p w14:paraId="32117037" w14:textId="66FFA342" w:rsidR="00BB002A" w:rsidRPr="009B5423" w:rsidRDefault="00BB002A" w:rsidP="009B5423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9B5423">
        <w:rPr>
          <w:rFonts w:ascii="Arial" w:hAnsi="Arial" w:cs="Arial"/>
          <w:sz w:val="22"/>
          <w:szCs w:val="22"/>
        </w:rPr>
        <w:t>Employees not employed on January 1, 2021</w:t>
      </w:r>
    </w:p>
    <w:p w14:paraId="01818610" w14:textId="77777777" w:rsidR="00DF6AE9" w:rsidRDefault="00BB002A" w:rsidP="009E0760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DF6AE9">
        <w:rPr>
          <w:rFonts w:ascii="Arial" w:hAnsi="Arial" w:cs="Arial"/>
          <w:sz w:val="22"/>
          <w:szCs w:val="22"/>
        </w:rPr>
        <w:t>Medical residents</w:t>
      </w:r>
      <w:r w:rsidR="00DF6AE9" w:rsidRPr="00DF6AE9">
        <w:rPr>
          <w:rFonts w:ascii="Arial" w:hAnsi="Arial" w:cs="Arial"/>
          <w:sz w:val="22"/>
          <w:szCs w:val="22"/>
        </w:rPr>
        <w:t xml:space="preserve">, graduate </w:t>
      </w:r>
      <w:proofErr w:type="gramStart"/>
      <w:r w:rsidR="00DF6AE9" w:rsidRPr="00DF6AE9">
        <w:rPr>
          <w:rFonts w:ascii="Arial" w:hAnsi="Arial" w:cs="Arial"/>
          <w:sz w:val="22"/>
          <w:szCs w:val="22"/>
        </w:rPr>
        <w:t>students</w:t>
      </w:r>
      <w:proofErr w:type="gramEnd"/>
      <w:r w:rsidR="00DF6AE9" w:rsidRPr="00DF6AE9">
        <w:rPr>
          <w:rFonts w:ascii="Arial" w:hAnsi="Arial" w:cs="Arial"/>
          <w:sz w:val="22"/>
          <w:szCs w:val="22"/>
        </w:rPr>
        <w:t xml:space="preserve"> and post docs</w:t>
      </w:r>
    </w:p>
    <w:p w14:paraId="4E734512" w14:textId="5ABC3671" w:rsidR="00BB002A" w:rsidRPr="00092F4A" w:rsidRDefault="00BB002A" w:rsidP="009E0760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Personal service contracts</w:t>
      </w:r>
    </w:p>
    <w:p w14:paraId="372D9B6E" w14:textId="7827193A" w:rsidR="00BB002A" w:rsidRPr="00092F4A" w:rsidRDefault="00BB002A" w:rsidP="009B5423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Non-service stipends, fellowships, and trainee payments </w:t>
      </w:r>
    </w:p>
    <w:p w14:paraId="6BB0A745" w14:textId="77777777" w:rsidR="00BB002A" w:rsidRPr="00092F4A" w:rsidRDefault="00BB002A" w:rsidP="009B5423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Employees whose salaries are paid from county funds (county-funded portion only)</w:t>
      </w:r>
    </w:p>
    <w:p w14:paraId="730DF9E0" w14:textId="77777777" w:rsidR="00BB002A" w:rsidRPr="00092F4A" w:rsidRDefault="00BB002A" w:rsidP="009B5423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Non-UT Student Assistants (job class 50910)</w:t>
      </w:r>
    </w:p>
    <w:p w14:paraId="79DEFAD5" w14:textId="6B3A0204" w:rsidR="00585F0A" w:rsidRPr="00092F4A" w:rsidRDefault="00BB002A" w:rsidP="009B5423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Employees who are separating from service prior to July 1, </w:t>
      </w:r>
      <w:proofErr w:type="gramStart"/>
      <w:r w:rsidRPr="00092F4A">
        <w:rPr>
          <w:rFonts w:ascii="Arial" w:hAnsi="Arial" w:cs="Arial"/>
          <w:sz w:val="22"/>
          <w:szCs w:val="22"/>
        </w:rPr>
        <w:t>2021</w:t>
      </w:r>
      <w:proofErr w:type="gramEnd"/>
      <w:r w:rsidR="00585F0A" w:rsidRPr="00092F4A">
        <w:rPr>
          <w:rFonts w:ascii="Arial" w:hAnsi="Arial" w:cs="Arial"/>
          <w:sz w:val="22"/>
          <w:szCs w:val="22"/>
        </w:rPr>
        <w:t xml:space="preserve"> separating on or before</w:t>
      </w:r>
    </w:p>
    <w:p w14:paraId="1850D126" w14:textId="26F033A1" w:rsidR="00585F0A" w:rsidRPr="00092F4A" w:rsidRDefault="00BB002A" w:rsidP="00585F0A">
      <w:pPr>
        <w:pStyle w:val="BasicParagraph"/>
        <w:numPr>
          <w:ilvl w:val="1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July 1st </w:t>
      </w:r>
      <w:r w:rsidR="00F5655C" w:rsidRPr="00092F4A">
        <w:rPr>
          <w:rFonts w:ascii="Arial" w:hAnsi="Arial" w:cs="Arial"/>
          <w:sz w:val="22"/>
          <w:szCs w:val="22"/>
        </w:rPr>
        <w:t xml:space="preserve">for </w:t>
      </w:r>
      <w:r w:rsidRPr="00092F4A">
        <w:rPr>
          <w:rFonts w:ascii="Arial" w:hAnsi="Arial" w:cs="Arial"/>
          <w:sz w:val="22"/>
          <w:szCs w:val="22"/>
        </w:rPr>
        <w:t xml:space="preserve">monthly </w:t>
      </w:r>
      <w:r w:rsidR="00F5655C" w:rsidRPr="00092F4A">
        <w:rPr>
          <w:rFonts w:ascii="Arial" w:hAnsi="Arial" w:cs="Arial"/>
          <w:sz w:val="22"/>
          <w:szCs w:val="22"/>
        </w:rPr>
        <w:t xml:space="preserve">payroll </w:t>
      </w:r>
      <w:r w:rsidR="00585F0A" w:rsidRPr="00092F4A">
        <w:rPr>
          <w:rFonts w:ascii="Arial" w:hAnsi="Arial" w:cs="Arial"/>
          <w:sz w:val="22"/>
          <w:szCs w:val="22"/>
        </w:rPr>
        <w:t>or</w:t>
      </w:r>
      <w:r w:rsidRPr="00092F4A">
        <w:rPr>
          <w:rFonts w:ascii="Arial" w:hAnsi="Arial" w:cs="Arial"/>
          <w:sz w:val="22"/>
          <w:szCs w:val="22"/>
        </w:rPr>
        <w:t xml:space="preserve"> </w:t>
      </w:r>
    </w:p>
    <w:p w14:paraId="7A37F14B" w14:textId="001476DC" w:rsidR="00BB002A" w:rsidRPr="00092F4A" w:rsidRDefault="00BB002A" w:rsidP="00585F0A">
      <w:pPr>
        <w:pStyle w:val="BasicParagraph"/>
        <w:numPr>
          <w:ilvl w:val="1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August 1</w:t>
      </w:r>
      <w:r w:rsidRPr="00092F4A">
        <w:rPr>
          <w:rFonts w:ascii="Arial" w:hAnsi="Arial" w:cs="Arial"/>
          <w:sz w:val="22"/>
          <w:szCs w:val="22"/>
          <w:vertAlign w:val="superscript"/>
        </w:rPr>
        <w:t>st</w:t>
      </w:r>
      <w:r w:rsidR="00304EFC" w:rsidRPr="00092F4A">
        <w:rPr>
          <w:rFonts w:ascii="Arial" w:hAnsi="Arial" w:cs="Arial"/>
          <w:sz w:val="22"/>
          <w:szCs w:val="22"/>
        </w:rPr>
        <w:t xml:space="preserve"> for </w:t>
      </w:r>
      <w:r w:rsidRPr="00092F4A">
        <w:rPr>
          <w:rFonts w:ascii="Arial" w:hAnsi="Arial" w:cs="Arial"/>
          <w:sz w:val="22"/>
          <w:szCs w:val="22"/>
        </w:rPr>
        <w:t>nine month academic and flex-year appointments.</w:t>
      </w:r>
    </w:p>
    <w:p w14:paraId="7DFAF31A" w14:textId="77777777" w:rsidR="0016515C" w:rsidRPr="00092F4A" w:rsidRDefault="0016515C" w:rsidP="004A4678">
      <w:pPr>
        <w:pStyle w:val="Heading1"/>
        <w:spacing w:before="120"/>
        <w:jc w:val="center"/>
        <w:rPr>
          <w:rStyle w:val="IntenseReference"/>
          <w:rFonts w:ascii="Cambria" w:hAnsi="Cambria"/>
        </w:rPr>
      </w:pPr>
    </w:p>
    <w:p w14:paraId="1DF70564" w14:textId="761AD219" w:rsidR="0090537E" w:rsidRPr="00092F4A" w:rsidRDefault="0090537E" w:rsidP="004A4678">
      <w:pPr>
        <w:pStyle w:val="Heading1"/>
        <w:spacing w:before="120"/>
        <w:jc w:val="center"/>
        <w:rPr>
          <w:rStyle w:val="IntenseReference"/>
          <w:rFonts w:ascii="Cambria" w:hAnsi="Cambria"/>
        </w:rPr>
      </w:pPr>
      <w:r w:rsidRPr="00092F4A">
        <w:rPr>
          <w:rStyle w:val="IntenseReference"/>
          <w:rFonts w:ascii="Cambria" w:hAnsi="Cambria"/>
        </w:rPr>
        <w:t xml:space="preserve">FY </w:t>
      </w:r>
      <w:r w:rsidR="004A4678" w:rsidRPr="00092F4A">
        <w:rPr>
          <w:rStyle w:val="IntenseReference"/>
          <w:rFonts w:ascii="Cambria" w:hAnsi="Cambria"/>
        </w:rPr>
        <w:t>2022</w:t>
      </w:r>
      <w:r w:rsidR="002E5BBE" w:rsidRPr="00092F4A">
        <w:rPr>
          <w:rStyle w:val="IntenseReference"/>
          <w:rFonts w:ascii="Cambria" w:hAnsi="Cambria"/>
        </w:rPr>
        <w:t xml:space="preserve"> Market </w:t>
      </w:r>
      <w:r w:rsidR="008479CC" w:rsidRPr="00092F4A">
        <w:rPr>
          <w:rStyle w:val="IntenseReference"/>
          <w:rFonts w:ascii="Cambria" w:hAnsi="Cambria"/>
        </w:rPr>
        <w:t>and Merit</w:t>
      </w:r>
      <w:r w:rsidR="002E5BBE" w:rsidRPr="00092F4A">
        <w:rPr>
          <w:rStyle w:val="IntenseReference"/>
          <w:rFonts w:ascii="Cambria" w:hAnsi="Cambria"/>
        </w:rPr>
        <w:t xml:space="preserve"> Increase</w:t>
      </w:r>
      <w:r w:rsidR="008479CC" w:rsidRPr="00092F4A">
        <w:rPr>
          <w:rStyle w:val="IntenseReference"/>
          <w:rFonts w:ascii="Cambria" w:hAnsi="Cambria"/>
        </w:rPr>
        <w:t>s</w:t>
      </w:r>
    </w:p>
    <w:p w14:paraId="28967E1C" w14:textId="77777777" w:rsidR="0090537E" w:rsidRPr="00092F4A" w:rsidRDefault="0090537E" w:rsidP="0090537E">
      <w:pPr>
        <w:pStyle w:val="BasicParagraph"/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3070B52A" w14:textId="375FFA13" w:rsidR="0090537E" w:rsidRPr="00092F4A" w:rsidRDefault="0090537E" w:rsidP="0016515C">
      <w:pPr>
        <w:pStyle w:val="BasicParagraph"/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ab/>
        <w:t xml:space="preserve">The Health Science Center is implementing a </w:t>
      </w:r>
      <w:r w:rsidR="00FF4253" w:rsidRPr="00092F4A">
        <w:rPr>
          <w:rFonts w:ascii="Arial" w:hAnsi="Arial" w:cs="Arial"/>
          <w:sz w:val="22"/>
          <w:szCs w:val="22"/>
        </w:rPr>
        <w:t>three</w:t>
      </w:r>
      <w:r w:rsidRPr="00092F4A">
        <w:rPr>
          <w:rFonts w:ascii="Arial" w:hAnsi="Arial" w:cs="Arial"/>
          <w:sz w:val="22"/>
          <w:szCs w:val="22"/>
        </w:rPr>
        <w:t xml:space="preserve">-step salary increase plan for FY </w:t>
      </w:r>
      <w:r w:rsidR="00153D7E" w:rsidRPr="00092F4A">
        <w:rPr>
          <w:rFonts w:ascii="Arial" w:hAnsi="Arial" w:cs="Arial"/>
          <w:sz w:val="22"/>
          <w:szCs w:val="22"/>
        </w:rPr>
        <w:t>2022</w:t>
      </w:r>
      <w:r w:rsidRPr="00092F4A">
        <w:rPr>
          <w:rFonts w:ascii="Arial" w:hAnsi="Arial" w:cs="Arial"/>
          <w:sz w:val="22"/>
          <w:szCs w:val="22"/>
        </w:rPr>
        <w:t xml:space="preserve">.  The plan will consist of a </w:t>
      </w:r>
      <w:r w:rsidR="00153D7E" w:rsidRPr="00092F4A">
        <w:rPr>
          <w:rFonts w:ascii="Arial" w:hAnsi="Arial" w:cs="Arial"/>
          <w:sz w:val="22"/>
          <w:szCs w:val="22"/>
        </w:rPr>
        <w:t>3.0</w:t>
      </w:r>
      <w:r w:rsidRPr="00092F4A">
        <w:rPr>
          <w:rFonts w:ascii="Arial" w:hAnsi="Arial" w:cs="Arial"/>
          <w:sz w:val="22"/>
          <w:szCs w:val="22"/>
        </w:rPr>
        <w:t xml:space="preserve">% </w:t>
      </w:r>
      <w:r w:rsidR="00153D7E" w:rsidRPr="00092F4A">
        <w:rPr>
          <w:rFonts w:ascii="Arial" w:hAnsi="Arial" w:cs="Arial"/>
          <w:sz w:val="22"/>
          <w:szCs w:val="22"/>
        </w:rPr>
        <w:t>market</w:t>
      </w:r>
      <w:r w:rsidRPr="00092F4A">
        <w:rPr>
          <w:rFonts w:ascii="Arial" w:hAnsi="Arial" w:cs="Arial"/>
          <w:sz w:val="22"/>
          <w:szCs w:val="22"/>
        </w:rPr>
        <w:t xml:space="preserve"> increase</w:t>
      </w:r>
      <w:r w:rsidR="00D57B25" w:rsidRPr="00092F4A">
        <w:rPr>
          <w:rFonts w:ascii="Arial" w:hAnsi="Arial" w:cs="Arial"/>
          <w:sz w:val="22"/>
          <w:szCs w:val="22"/>
        </w:rPr>
        <w:t xml:space="preserve"> (with a $1,500 minimum)</w:t>
      </w:r>
      <w:r w:rsidR="00FF4253" w:rsidRPr="00092F4A">
        <w:rPr>
          <w:rFonts w:ascii="Arial" w:hAnsi="Arial" w:cs="Arial"/>
          <w:sz w:val="22"/>
          <w:szCs w:val="22"/>
        </w:rPr>
        <w:t>,</w:t>
      </w:r>
      <w:r w:rsidR="00F0767B" w:rsidRPr="00092F4A">
        <w:rPr>
          <w:rFonts w:ascii="Arial" w:hAnsi="Arial" w:cs="Arial"/>
          <w:sz w:val="22"/>
          <w:szCs w:val="22"/>
        </w:rPr>
        <w:t xml:space="preserve"> </w:t>
      </w:r>
      <w:r w:rsidRPr="00092F4A">
        <w:rPr>
          <w:rFonts w:ascii="Arial" w:hAnsi="Arial" w:cs="Arial"/>
          <w:sz w:val="22"/>
          <w:szCs w:val="22"/>
        </w:rPr>
        <w:t>a 1.</w:t>
      </w:r>
      <w:r w:rsidR="00FF4253" w:rsidRPr="00092F4A">
        <w:rPr>
          <w:rFonts w:ascii="Arial" w:hAnsi="Arial" w:cs="Arial"/>
          <w:sz w:val="22"/>
          <w:szCs w:val="22"/>
        </w:rPr>
        <w:t>0</w:t>
      </w:r>
      <w:r w:rsidRPr="00092F4A">
        <w:rPr>
          <w:rFonts w:ascii="Arial" w:hAnsi="Arial" w:cs="Arial"/>
          <w:sz w:val="22"/>
          <w:szCs w:val="22"/>
        </w:rPr>
        <w:t>% merit pool</w:t>
      </w:r>
      <w:r w:rsidR="00F0767B" w:rsidRPr="00092F4A">
        <w:rPr>
          <w:rFonts w:ascii="Arial" w:hAnsi="Arial" w:cs="Arial"/>
          <w:sz w:val="22"/>
          <w:szCs w:val="22"/>
        </w:rPr>
        <w:t xml:space="preserve"> and an increase in the minimum pay rate to $16.00/hour</w:t>
      </w:r>
      <w:r w:rsidRPr="00092F4A">
        <w:rPr>
          <w:rFonts w:ascii="Arial" w:hAnsi="Arial" w:cs="Arial"/>
          <w:sz w:val="22"/>
          <w:szCs w:val="22"/>
        </w:rPr>
        <w:t>.  Increases will apply to all regular faculty and staff.  Merit pools will be established for each group of “regular” employees (faculty, exempt</w:t>
      </w:r>
      <w:r w:rsidR="00D57B25" w:rsidRPr="00092F4A">
        <w:rPr>
          <w:rFonts w:ascii="Arial" w:hAnsi="Arial" w:cs="Arial"/>
          <w:sz w:val="22"/>
          <w:szCs w:val="22"/>
        </w:rPr>
        <w:t xml:space="preserve"> staff</w:t>
      </w:r>
      <w:r w:rsidRPr="00092F4A">
        <w:rPr>
          <w:rFonts w:ascii="Arial" w:hAnsi="Arial" w:cs="Arial"/>
          <w:sz w:val="22"/>
          <w:szCs w:val="22"/>
        </w:rPr>
        <w:t>, and non-exempt</w:t>
      </w:r>
      <w:r w:rsidR="00D57B25" w:rsidRPr="00092F4A">
        <w:rPr>
          <w:rFonts w:ascii="Arial" w:hAnsi="Arial" w:cs="Arial"/>
          <w:sz w:val="22"/>
          <w:szCs w:val="22"/>
        </w:rPr>
        <w:t xml:space="preserve"> staff</w:t>
      </w:r>
      <w:r w:rsidRPr="00092F4A">
        <w:rPr>
          <w:rFonts w:ascii="Arial" w:hAnsi="Arial" w:cs="Arial"/>
          <w:sz w:val="22"/>
          <w:szCs w:val="22"/>
        </w:rPr>
        <w:t xml:space="preserve">).  </w:t>
      </w:r>
    </w:p>
    <w:p w14:paraId="6EE2E08D" w14:textId="77777777" w:rsidR="0090537E" w:rsidRPr="00092F4A" w:rsidRDefault="0090537E" w:rsidP="0016515C">
      <w:pPr>
        <w:pStyle w:val="BasicParagraph"/>
        <w:tabs>
          <w:tab w:val="left" w:pos="-72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92F4A">
        <w:rPr>
          <w:rFonts w:ascii="Arial" w:hAnsi="Arial" w:cs="Arial"/>
          <w:sz w:val="22"/>
          <w:szCs w:val="22"/>
        </w:rPr>
        <w:tab/>
      </w:r>
    </w:p>
    <w:p w14:paraId="10CD6854" w14:textId="3C0DF479" w:rsidR="0090537E" w:rsidRPr="00092F4A" w:rsidRDefault="00D57B25" w:rsidP="0016515C">
      <w:pPr>
        <w:pStyle w:val="BasicParagraph"/>
        <w:tabs>
          <w:tab w:val="left" w:pos="-72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92F4A">
        <w:rPr>
          <w:rFonts w:ascii="Arial" w:hAnsi="Arial" w:cs="Arial"/>
          <w:b/>
          <w:i/>
          <w:sz w:val="22"/>
          <w:szCs w:val="22"/>
          <w:u w:val="single"/>
        </w:rPr>
        <w:lastRenderedPageBreak/>
        <w:t>Market</w:t>
      </w:r>
      <w:r w:rsidR="0090537E" w:rsidRPr="00092F4A">
        <w:rPr>
          <w:rFonts w:ascii="Arial" w:hAnsi="Arial" w:cs="Arial"/>
          <w:b/>
          <w:i/>
          <w:sz w:val="22"/>
          <w:szCs w:val="22"/>
          <w:u w:val="single"/>
        </w:rPr>
        <w:t xml:space="preserve"> Increase:</w:t>
      </w:r>
    </w:p>
    <w:p w14:paraId="33280F98" w14:textId="762378FF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All regular, full-time employees will receive a </w:t>
      </w:r>
      <w:r w:rsidR="00D57B25" w:rsidRPr="00092F4A">
        <w:rPr>
          <w:rFonts w:ascii="Arial" w:hAnsi="Arial" w:cs="Arial"/>
          <w:sz w:val="22"/>
          <w:szCs w:val="22"/>
        </w:rPr>
        <w:t>3.0</w:t>
      </w:r>
      <w:r w:rsidRPr="00092F4A">
        <w:rPr>
          <w:rFonts w:ascii="Arial" w:hAnsi="Arial" w:cs="Arial"/>
          <w:sz w:val="22"/>
          <w:szCs w:val="22"/>
        </w:rPr>
        <w:t xml:space="preserve">% increase effective July 1, </w:t>
      </w:r>
      <w:r w:rsidR="00E906C8" w:rsidRPr="00092F4A">
        <w:rPr>
          <w:rFonts w:ascii="Arial" w:hAnsi="Arial" w:cs="Arial"/>
          <w:sz w:val="22"/>
          <w:szCs w:val="22"/>
        </w:rPr>
        <w:t>2021</w:t>
      </w:r>
      <w:r w:rsidRPr="00092F4A">
        <w:rPr>
          <w:rFonts w:ascii="Arial" w:hAnsi="Arial" w:cs="Arial"/>
          <w:sz w:val="22"/>
          <w:szCs w:val="22"/>
        </w:rPr>
        <w:t>.</w:t>
      </w:r>
    </w:p>
    <w:p w14:paraId="22EB1316" w14:textId="066092A1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The minimum increase will be $1</w:t>
      </w:r>
      <w:r w:rsidR="00E906C8" w:rsidRPr="00092F4A">
        <w:rPr>
          <w:rFonts w:ascii="Arial" w:hAnsi="Arial" w:cs="Arial"/>
          <w:sz w:val="22"/>
          <w:szCs w:val="22"/>
        </w:rPr>
        <w:t>,5</w:t>
      </w:r>
      <w:r w:rsidRPr="00092F4A">
        <w:rPr>
          <w:rFonts w:ascii="Arial" w:hAnsi="Arial" w:cs="Arial"/>
          <w:sz w:val="22"/>
          <w:szCs w:val="22"/>
        </w:rPr>
        <w:t>00</w:t>
      </w:r>
      <w:r w:rsidR="00E906C8" w:rsidRPr="00092F4A">
        <w:rPr>
          <w:rFonts w:ascii="Arial" w:hAnsi="Arial" w:cs="Arial"/>
          <w:sz w:val="22"/>
          <w:szCs w:val="22"/>
        </w:rPr>
        <w:t>.</w:t>
      </w:r>
    </w:p>
    <w:p w14:paraId="2F47F6CE" w14:textId="77777777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Increases for 9-month faculty will be effective August 1st.</w:t>
      </w:r>
    </w:p>
    <w:p w14:paraId="76D3FF12" w14:textId="77777777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Post-retirement service employees may receive this increase in accordance with their post-retirement contract.</w:t>
      </w:r>
    </w:p>
    <w:p w14:paraId="3DED4542" w14:textId="50BAAB4B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The $1</w:t>
      </w:r>
      <w:r w:rsidR="00C97D0C" w:rsidRPr="00092F4A">
        <w:rPr>
          <w:rFonts w:ascii="Arial" w:hAnsi="Arial" w:cs="Arial"/>
          <w:sz w:val="22"/>
          <w:szCs w:val="22"/>
        </w:rPr>
        <w:t>,5</w:t>
      </w:r>
      <w:r w:rsidRPr="00092F4A">
        <w:rPr>
          <w:rFonts w:ascii="Arial" w:hAnsi="Arial" w:cs="Arial"/>
          <w:sz w:val="22"/>
          <w:szCs w:val="22"/>
        </w:rPr>
        <w:t>00 minimum does not apply to HSC Faculty whose annual planned income (i.e., total salary from all sources) exceeds $</w:t>
      </w:r>
      <w:r w:rsidR="00C97D0C" w:rsidRPr="00092F4A">
        <w:rPr>
          <w:rFonts w:ascii="Arial" w:hAnsi="Arial" w:cs="Arial"/>
          <w:sz w:val="22"/>
          <w:szCs w:val="22"/>
        </w:rPr>
        <w:t>50</w:t>
      </w:r>
      <w:r w:rsidRPr="00092F4A">
        <w:rPr>
          <w:rFonts w:ascii="Arial" w:hAnsi="Arial" w:cs="Arial"/>
          <w:sz w:val="22"/>
          <w:szCs w:val="22"/>
        </w:rPr>
        <w:t>,000.</w:t>
      </w:r>
    </w:p>
    <w:p w14:paraId="5286C839" w14:textId="640F5893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To receive an increase under this guideline, employees must be on the payroll</w:t>
      </w:r>
      <w:r w:rsidR="00A16640" w:rsidRPr="00092F4A">
        <w:rPr>
          <w:rFonts w:ascii="Arial" w:hAnsi="Arial" w:cs="Arial"/>
          <w:sz w:val="22"/>
          <w:szCs w:val="22"/>
        </w:rPr>
        <w:t xml:space="preserve"> </w:t>
      </w:r>
      <w:r w:rsidRPr="00092F4A">
        <w:rPr>
          <w:rFonts w:ascii="Arial" w:hAnsi="Arial" w:cs="Arial"/>
          <w:sz w:val="22"/>
          <w:szCs w:val="22"/>
        </w:rPr>
        <w:t>June 30, 20</w:t>
      </w:r>
      <w:r w:rsidR="00C97D0C" w:rsidRPr="00092F4A">
        <w:rPr>
          <w:rFonts w:ascii="Arial" w:hAnsi="Arial" w:cs="Arial"/>
          <w:sz w:val="22"/>
          <w:szCs w:val="22"/>
        </w:rPr>
        <w:t>21</w:t>
      </w:r>
      <w:r w:rsidRPr="00092F4A">
        <w:rPr>
          <w:rFonts w:ascii="Arial" w:hAnsi="Arial" w:cs="Arial"/>
          <w:sz w:val="22"/>
          <w:szCs w:val="22"/>
        </w:rPr>
        <w:t>.</w:t>
      </w:r>
    </w:p>
    <w:p w14:paraId="17BC04FB" w14:textId="3F7E4EDB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Employees who are “regular” faculty, exempt staff, and non-exempt staff are eligible for the raise.</w:t>
      </w:r>
    </w:p>
    <w:p w14:paraId="7E4018A3" w14:textId="77777777" w:rsidR="00572139" w:rsidRPr="00092F4A" w:rsidRDefault="00572139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Regular, part-time employees will receive the increase with the minimum amount pro-rated according to their percent appointment.</w:t>
      </w:r>
    </w:p>
    <w:p w14:paraId="2317D598" w14:textId="77777777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Self-funded, auxiliary, and restricted sources </w:t>
      </w:r>
      <w:r w:rsidRPr="00092F4A">
        <w:rPr>
          <w:rFonts w:ascii="Arial" w:hAnsi="Arial" w:cs="Arial"/>
          <w:b/>
          <w:i/>
          <w:sz w:val="22"/>
          <w:szCs w:val="22"/>
          <w:u w:val="single"/>
        </w:rPr>
        <w:t>must</w:t>
      </w:r>
      <w:r w:rsidRPr="00092F4A">
        <w:rPr>
          <w:rFonts w:ascii="Arial" w:hAnsi="Arial" w:cs="Arial"/>
          <w:sz w:val="22"/>
          <w:szCs w:val="22"/>
        </w:rPr>
        <w:t xml:space="preserve"> provide funding for eligible employees.</w:t>
      </w:r>
    </w:p>
    <w:p w14:paraId="6469FBD6" w14:textId="444F7497" w:rsidR="0090537E" w:rsidRPr="00092F4A" w:rsidRDefault="0090537E" w:rsidP="00175F59">
      <w:pPr>
        <w:pStyle w:val="BasicParagraph"/>
        <w:numPr>
          <w:ilvl w:val="0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Term employees, graduate students, medical </w:t>
      </w:r>
      <w:proofErr w:type="gramStart"/>
      <w:r w:rsidRPr="00092F4A">
        <w:rPr>
          <w:rFonts w:ascii="Arial" w:hAnsi="Arial" w:cs="Arial"/>
          <w:sz w:val="22"/>
          <w:szCs w:val="22"/>
        </w:rPr>
        <w:t>residents</w:t>
      </w:r>
      <w:proofErr w:type="gramEnd"/>
      <w:r w:rsidR="00C954C2" w:rsidRPr="00092F4A">
        <w:rPr>
          <w:rFonts w:ascii="Arial" w:hAnsi="Arial" w:cs="Arial"/>
          <w:sz w:val="22"/>
          <w:szCs w:val="22"/>
        </w:rPr>
        <w:t xml:space="preserve"> and post docs</w:t>
      </w:r>
      <w:r w:rsidRPr="00092F4A">
        <w:rPr>
          <w:rFonts w:ascii="Arial" w:hAnsi="Arial" w:cs="Arial"/>
          <w:sz w:val="22"/>
          <w:szCs w:val="22"/>
        </w:rPr>
        <w:t xml:space="preserve"> will </w:t>
      </w:r>
      <w:r w:rsidRPr="00092F4A">
        <w:rPr>
          <w:rFonts w:ascii="Arial" w:hAnsi="Arial" w:cs="Arial"/>
          <w:b/>
          <w:i/>
          <w:sz w:val="22"/>
          <w:szCs w:val="22"/>
          <w:u w:val="single"/>
        </w:rPr>
        <w:t>not</w:t>
      </w:r>
      <w:r w:rsidRPr="00092F4A">
        <w:rPr>
          <w:rFonts w:ascii="Arial" w:hAnsi="Arial" w:cs="Arial"/>
          <w:sz w:val="22"/>
          <w:szCs w:val="22"/>
        </w:rPr>
        <w:t xml:space="preserve"> receive </w:t>
      </w:r>
      <w:r w:rsidR="00137CF7" w:rsidRPr="00092F4A">
        <w:rPr>
          <w:rFonts w:ascii="Arial" w:hAnsi="Arial" w:cs="Arial"/>
          <w:sz w:val="22"/>
          <w:szCs w:val="22"/>
        </w:rPr>
        <w:t>a market</w:t>
      </w:r>
      <w:r w:rsidRPr="00092F4A">
        <w:rPr>
          <w:rFonts w:ascii="Arial" w:hAnsi="Arial" w:cs="Arial"/>
          <w:sz w:val="22"/>
          <w:szCs w:val="22"/>
        </w:rPr>
        <w:t xml:space="preserve"> increase.</w:t>
      </w:r>
    </w:p>
    <w:p w14:paraId="62A926C0" w14:textId="7621E28A" w:rsidR="00175F59" w:rsidRPr="00092F4A" w:rsidRDefault="00175F59" w:rsidP="00175F59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color w:val="auto"/>
          <w:sz w:val="22"/>
          <w:szCs w:val="22"/>
        </w:rPr>
        <w:t xml:space="preserve">Postdocs </w:t>
      </w:r>
      <w:r w:rsidR="0079003E" w:rsidRPr="00092F4A">
        <w:rPr>
          <w:rFonts w:ascii="Arial" w:hAnsi="Arial" w:cs="Arial"/>
          <w:color w:val="auto"/>
          <w:sz w:val="22"/>
          <w:szCs w:val="22"/>
        </w:rPr>
        <w:t>transition</w:t>
      </w:r>
      <w:r w:rsidR="00941B5A" w:rsidRPr="00092F4A">
        <w:rPr>
          <w:rFonts w:ascii="Arial" w:hAnsi="Arial" w:cs="Arial"/>
          <w:color w:val="auto"/>
          <w:sz w:val="22"/>
          <w:szCs w:val="22"/>
        </w:rPr>
        <w:t>ing</w:t>
      </w:r>
      <w:r w:rsidR="0079003E" w:rsidRPr="00092F4A">
        <w:rPr>
          <w:rFonts w:ascii="Arial" w:hAnsi="Arial" w:cs="Arial"/>
          <w:color w:val="auto"/>
          <w:sz w:val="22"/>
          <w:szCs w:val="22"/>
        </w:rPr>
        <w:t xml:space="preserve"> </w:t>
      </w:r>
      <w:r w:rsidR="00046700" w:rsidRPr="00092F4A">
        <w:rPr>
          <w:rFonts w:ascii="Arial" w:hAnsi="Arial" w:cs="Arial"/>
          <w:color w:val="auto"/>
          <w:sz w:val="22"/>
          <w:szCs w:val="22"/>
        </w:rPr>
        <w:t xml:space="preserve">to </w:t>
      </w:r>
      <w:r w:rsidRPr="00092F4A">
        <w:rPr>
          <w:rFonts w:ascii="Arial" w:hAnsi="Arial" w:cs="Arial"/>
          <w:color w:val="auto"/>
          <w:sz w:val="22"/>
          <w:szCs w:val="22"/>
        </w:rPr>
        <w:t xml:space="preserve">regular </w:t>
      </w:r>
      <w:r w:rsidRPr="00092F4A">
        <w:rPr>
          <w:rFonts w:ascii="Arial" w:hAnsi="Arial" w:cs="Arial"/>
          <w:sz w:val="22"/>
          <w:szCs w:val="22"/>
        </w:rPr>
        <w:t>exempt staff on July 1, 2021, do not qualify for the market increase.</w:t>
      </w:r>
    </w:p>
    <w:p w14:paraId="03F1E8BB" w14:textId="42290873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Non-regular appointments such as ADAs do not qualify for the </w:t>
      </w:r>
      <w:r w:rsidR="00167BAD" w:rsidRPr="00092F4A">
        <w:rPr>
          <w:rFonts w:ascii="Arial" w:hAnsi="Arial" w:cs="Arial"/>
          <w:sz w:val="22"/>
          <w:szCs w:val="22"/>
        </w:rPr>
        <w:t>market</w:t>
      </w:r>
      <w:r w:rsidRPr="00092F4A">
        <w:rPr>
          <w:rFonts w:ascii="Arial" w:hAnsi="Arial" w:cs="Arial"/>
          <w:sz w:val="22"/>
          <w:szCs w:val="22"/>
        </w:rPr>
        <w:t xml:space="preserve"> increase.</w:t>
      </w:r>
    </w:p>
    <w:p w14:paraId="7279FD10" w14:textId="77777777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Raises do not apply to salaries charged to agency funds established for faculty practice plans or other identified clinical salaries (i.e., by account number).</w:t>
      </w:r>
    </w:p>
    <w:p w14:paraId="690D2FA8" w14:textId="1274F394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The </w:t>
      </w:r>
      <w:r w:rsidR="00C96155" w:rsidRPr="00092F4A">
        <w:rPr>
          <w:rFonts w:ascii="Arial" w:hAnsi="Arial" w:cs="Arial"/>
          <w:sz w:val="22"/>
          <w:szCs w:val="22"/>
        </w:rPr>
        <w:t>market</w:t>
      </w:r>
      <w:r w:rsidRPr="00092F4A">
        <w:rPr>
          <w:rFonts w:ascii="Arial" w:hAnsi="Arial" w:cs="Arial"/>
          <w:sz w:val="22"/>
          <w:szCs w:val="22"/>
        </w:rPr>
        <w:t xml:space="preserve"> increase will be withheld for unsatisfactory performance in accordance with documentation provided through annual employee evaluations on file with Human Resources </w:t>
      </w:r>
      <w:r w:rsidR="00572D09" w:rsidRPr="00092F4A">
        <w:rPr>
          <w:rFonts w:ascii="Arial" w:hAnsi="Arial" w:cs="Arial"/>
          <w:sz w:val="22"/>
          <w:szCs w:val="22"/>
        </w:rPr>
        <w:t xml:space="preserve">for staff and Academic Affairs for faculty </w:t>
      </w:r>
      <w:r w:rsidRPr="00092F4A">
        <w:rPr>
          <w:rFonts w:ascii="Arial" w:hAnsi="Arial" w:cs="Arial"/>
          <w:b/>
          <w:i/>
          <w:sz w:val="22"/>
          <w:szCs w:val="22"/>
          <w:u w:val="single"/>
        </w:rPr>
        <w:t xml:space="preserve">no later than </w:t>
      </w:r>
      <w:r w:rsidR="00961695" w:rsidRPr="00092F4A">
        <w:rPr>
          <w:rFonts w:ascii="Arial" w:hAnsi="Arial" w:cs="Arial"/>
          <w:b/>
          <w:i/>
          <w:sz w:val="22"/>
          <w:szCs w:val="22"/>
          <w:u w:val="single"/>
        </w:rPr>
        <w:t>Friday, June 25, 2021</w:t>
      </w:r>
      <w:r w:rsidRPr="00092F4A">
        <w:rPr>
          <w:rFonts w:ascii="Arial" w:hAnsi="Arial" w:cs="Arial"/>
          <w:sz w:val="22"/>
          <w:szCs w:val="22"/>
        </w:rPr>
        <w:t xml:space="preserve">.  The following must be met regarding the documentation to withhold the </w:t>
      </w:r>
      <w:r w:rsidR="00C96155" w:rsidRPr="00092F4A">
        <w:rPr>
          <w:rFonts w:ascii="Arial" w:hAnsi="Arial" w:cs="Arial"/>
          <w:sz w:val="22"/>
          <w:szCs w:val="22"/>
        </w:rPr>
        <w:t>market</w:t>
      </w:r>
      <w:r w:rsidRPr="00092F4A">
        <w:rPr>
          <w:rFonts w:ascii="Arial" w:hAnsi="Arial" w:cs="Arial"/>
          <w:sz w:val="22"/>
          <w:szCs w:val="22"/>
        </w:rPr>
        <w:t xml:space="preserve"> increase:</w:t>
      </w:r>
    </w:p>
    <w:p w14:paraId="39EA1EE4" w14:textId="77777777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The employee is notified in writing by their respective department head they are being denied the increase due to unsatisfactory work performance and the reason for the denial.</w:t>
      </w:r>
    </w:p>
    <w:p w14:paraId="65AFE904" w14:textId="1F2C3B27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The Chief Business Officer submits the names, personnel numbers, and copies of the documentation of unsatisfactory performance to the UT System Chief Financial Officer </w:t>
      </w:r>
      <w:r w:rsidRPr="00092F4A">
        <w:rPr>
          <w:rFonts w:ascii="Arial" w:hAnsi="Arial" w:cs="Arial"/>
          <w:b/>
          <w:sz w:val="22"/>
          <w:szCs w:val="22"/>
        </w:rPr>
        <w:t xml:space="preserve">by July 3, </w:t>
      </w:r>
      <w:r w:rsidR="006C4A33" w:rsidRPr="00092F4A">
        <w:rPr>
          <w:rFonts w:ascii="Arial" w:hAnsi="Arial" w:cs="Arial"/>
          <w:b/>
          <w:sz w:val="22"/>
          <w:szCs w:val="22"/>
        </w:rPr>
        <w:t>2021</w:t>
      </w:r>
      <w:r w:rsidRPr="00092F4A">
        <w:rPr>
          <w:rFonts w:ascii="Arial" w:hAnsi="Arial" w:cs="Arial"/>
          <w:b/>
          <w:sz w:val="22"/>
          <w:szCs w:val="22"/>
        </w:rPr>
        <w:t>.</w:t>
      </w:r>
    </w:p>
    <w:p w14:paraId="288B36A4" w14:textId="316C1697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Employees being denied an increase shall be granted an opportunity to respond either orally or in writing to the </w:t>
      </w:r>
      <w:r w:rsidR="00D26807" w:rsidRPr="00092F4A">
        <w:rPr>
          <w:rFonts w:ascii="Arial" w:hAnsi="Arial" w:cs="Arial"/>
          <w:sz w:val="22"/>
          <w:szCs w:val="22"/>
        </w:rPr>
        <w:t>Chancellor</w:t>
      </w:r>
      <w:r w:rsidRPr="00092F4A">
        <w:rPr>
          <w:rFonts w:ascii="Arial" w:hAnsi="Arial" w:cs="Arial"/>
          <w:sz w:val="22"/>
          <w:szCs w:val="22"/>
        </w:rPr>
        <w:t>.  If the denial is sustained, a letter shall be provided to the Chief Business Officer of the campus.</w:t>
      </w:r>
    </w:p>
    <w:p w14:paraId="7FBBF28A" w14:textId="4297603E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If work performance is deemed satisfactory during FY </w:t>
      </w:r>
      <w:r w:rsidR="00D26807" w:rsidRPr="00092F4A">
        <w:rPr>
          <w:rFonts w:ascii="Arial" w:hAnsi="Arial" w:cs="Arial"/>
          <w:sz w:val="22"/>
          <w:szCs w:val="22"/>
        </w:rPr>
        <w:t>2022</w:t>
      </w:r>
      <w:r w:rsidRPr="00092F4A">
        <w:rPr>
          <w:rFonts w:ascii="Arial" w:hAnsi="Arial" w:cs="Arial"/>
          <w:sz w:val="22"/>
          <w:szCs w:val="22"/>
        </w:rPr>
        <w:t xml:space="preserve">, the respective salary increase may be given to the employee at that point in time.  Under no circumstances should the increase be given after June 30, </w:t>
      </w:r>
      <w:r w:rsidR="00D26807" w:rsidRPr="00092F4A">
        <w:rPr>
          <w:rFonts w:ascii="Arial" w:hAnsi="Arial" w:cs="Arial"/>
          <w:sz w:val="22"/>
          <w:szCs w:val="22"/>
        </w:rPr>
        <w:t>2022</w:t>
      </w:r>
      <w:r w:rsidRPr="00092F4A">
        <w:rPr>
          <w:rFonts w:ascii="Arial" w:hAnsi="Arial" w:cs="Arial"/>
          <w:sz w:val="22"/>
          <w:szCs w:val="22"/>
        </w:rPr>
        <w:t>, nor shall it be retroactive.  Appropriate documentation illustrating the employee’s change in performance should be approved by the Chief Business Officer of the campus.</w:t>
      </w:r>
    </w:p>
    <w:p w14:paraId="6854847A" w14:textId="31037823" w:rsidR="0090537E" w:rsidRPr="00092F4A" w:rsidRDefault="0090537E" w:rsidP="0016515C">
      <w:pPr>
        <w:pStyle w:val="BasicParagraph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The UT System Payroll Office will calculate and enter the </w:t>
      </w:r>
      <w:r w:rsidR="00C96155" w:rsidRPr="00092F4A">
        <w:rPr>
          <w:rFonts w:ascii="Arial" w:hAnsi="Arial" w:cs="Arial"/>
          <w:sz w:val="22"/>
          <w:szCs w:val="22"/>
        </w:rPr>
        <w:t>market</w:t>
      </w:r>
      <w:r w:rsidRPr="00092F4A">
        <w:rPr>
          <w:rFonts w:ascii="Arial" w:hAnsi="Arial" w:cs="Arial"/>
          <w:sz w:val="22"/>
          <w:szCs w:val="22"/>
        </w:rPr>
        <w:t xml:space="preserve"> increase.  Department processing of papers for this increase is not required.</w:t>
      </w:r>
    </w:p>
    <w:p w14:paraId="0D6B2F57" w14:textId="77777777" w:rsidR="0090537E" w:rsidRPr="00092F4A" w:rsidRDefault="0090537E" w:rsidP="0016515C">
      <w:pPr>
        <w:pStyle w:val="BasicParagraph"/>
        <w:tabs>
          <w:tab w:val="left" w:pos="-72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403C91C" w14:textId="77777777" w:rsidR="0090537E" w:rsidRPr="00092F4A" w:rsidRDefault="0090537E" w:rsidP="0016515C">
      <w:pPr>
        <w:pStyle w:val="BasicParagraph"/>
        <w:tabs>
          <w:tab w:val="left" w:pos="-72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92F4A">
        <w:rPr>
          <w:rFonts w:ascii="Arial" w:hAnsi="Arial" w:cs="Arial"/>
          <w:b/>
          <w:i/>
          <w:sz w:val="22"/>
          <w:szCs w:val="22"/>
          <w:u w:val="single"/>
        </w:rPr>
        <w:t>Merit Pool Increases</w:t>
      </w:r>
    </w:p>
    <w:p w14:paraId="00473355" w14:textId="18DD7E56" w:rsidR="0090537E" w:rsidRPr="00092F4A" w:rsidRDefault="0090537E" w:rsidP="0016515C">
      <w:pPr>
        <w:pStyle w:val="BasicParagraph"/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A merit pool of 1.</w:t>
      </w:r>
      <w:r w:rsidR="00305CEB" w:rsidRPr="00092F4A">
        <w:rPr>
          <w:rFonts w:ascii="Arial" w:hAnsi="Arial" w:cs="Arial"/>
          <w:sz w:val="22"/>
          <w:szCs w:val="22"/>
        </w:rPr>
        <w:t>0</w:t>
      </w:r>
      <w:r w:rsidRPr="00092F4A">
        <w:rPr>
          <w:rFonts w:ascii="Arial" w:hAnsi="Arial" w:cs="Arial"/>
          <w:sz w:val="22"/>
          <w:szCs w:val="22"/>
        </w:rPr>
        <w:t>% will be established for each college and division of campus administration and will be allocated by employee group (faculty, exempt, and non-exempt).</w:t>
      </w:r>
    </w:p>
    <w:p w14:paraId="1CB353AE" w14:textId="26DD945D" w:rsidR="00213743" w:rsidRPr="00092F4A" w:rsidRDefault="00213743" w:rsidP="0016515C">
      <w:pPr>
        <w:pStyle w:val="BasicParagraph"/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Term employees, graduate students, medical </w:t>
      </w:r>
      <w:proofErr w:type="gramStart"/>
      <w:r w:rsidRPr="00092F4A">
        <w:rPr>
          <w:rFonts w:ascii="Arial" w:hAnsi="Arial" w:cs="Arial"/>
          <w:sz w:val="22"/>
          <w:szCs w:val="22"/>
        </w:rPr>
        <w:t>residents</w:t>
      </w:r>
      <w:proofErr w:type="gramEnd"/>
      <w:r w:rsidRPr="00092F4A">
        <w:rPr>
          <w:rFonts w:ascii="Arial" w:hAnsi="Arial" w:cs="Arial"/>
          <w:sz w:val="22"/>
          <w:szCs w:val="22"/>
        </w:rPr>
        <w:t xml:space="preserve"> and post docs are </w:t>
      </w:r>
      <w:r w:rsidRPr="00092F4A">
        <w:rPr>
          <w:rFonts w:ascii="Arial" w:hAnsi="Arial" w:cs="Arial"/>
          <w:b/>
          <w:i/>
          <w:sz w:val="22"/>
          <w:szCs w:val="22"/>
          <w:u w:val="single"/>
        </w:rPr>
        <w:t>not</w:t>
      </w:r>
      <w:r w:rsidRPr="00092F4A">
        <w:rPr>
          <w:rFonts w:ascii="Arial" w:hAnsi="Arial" w:cs="Arial"/>
          <w:sz w:val="22"/>
          <w:szCs w:val="22"/>
        </w:rPr>
        <w:t xml:space="preserve"> eligible for a </w:t>
      </w:r>
      <w:r w:rsidR="004E51A2" w:rsidRPr="00092F4A">
        <w:rPr>
          <w:rFonts w:ascii="Arial" w:hAnsi="Arial" w:cs="Arial"/>
          <w:sz w:val="22"/>
          <w:szCs w:val="22"/>
        </w:rPr>
        <w:t>merit</w:t>
      </w:r>
      <w:r w:rsidRPr="00092F4A">
        <w:rPr>
          <w:rFonts w:ascii="Arial" w:hAnsi="Arial" w:cs="Arial"/>
          <w:sz w:val="22"/>
          <w:szCs w:val="22"/>
        </w:rPr>
        <w:t xml:space="preserve"> increase.</w:t>
      </w:r>
    </w:p>
    <w:p w14:paraId="24A7DA91" w14:textId="315ABAC4" w:rsidR="00F66CD7" w:rsidRPr="00092F4A" w:rsidRDefault="00F66CD7" w:rsidP="00F66CD7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Postdocs </w:t>
      </w:r>
      <w:r w:rsidR="00394C96" w:rsidRPr="00092F4A">
        <w:rPr>
          <w:rFonts w:ascii="Arial" w:hAnsi="Arial" w:cs="Arial"/>
          <w:sz w:val="22"/>
          <w:szCs w:val="22"/>
        </w:rPr>
        <w:t xml:space="preserve">transitioning to </w:t>
      </w:r>
      <w:r w:rsidRPr="00092F4A">
        <w:rPr>
          <w:rFonts w:ascii="Arial" w:hAnsi="Arial" w:cs="Arial"/>
          <w:sz w:val="22"/>
          <w:szCs w:val="22"/>
        </w:rPr>
        <w:t>regular exempt staff on July 1, 2021, do not qualify for the merit increase.</w:t>
      </w:r>
    </w:p>
    <w:p w14:paraId="4688F688" w14:textId="10F4DC47" w:rsidR="0090537E" w:rsidRPr="00092F4A" w:rsidRDefault="0090537E" w:rsidP="0016515C">
      <w:pPr>
        <w:pStyle w:val="BasicParagraph"/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All merit increases will be effective </w:t>
      </w:r>
      <w:r w:rsidRPr="00092F4A">
        <w:rPr>
          <w:rFonts w:ascii="Arial" w:hAnsi="Arial" w:cs="Arial"/>
          <w:b/>
          <w:sz w:val="22"/>
          <w:szCs w:val="22"/>
        </w:rPr>
        <w:t xml:space="preserve">July 1, </w:t>
      </w:r>
      <w:proofErr w:type="gramStart"/>
      <w:r w:rsidR="00305CEB" w:rsidRPr="00092F4A">
        <w:rPr>
          <w:rFonts w:ascii="Arial" w:hAnsi="Arial" w:cs="Arial"/>
          <w:b/>
          <w:sz w:val="22"/>
          <w:szCs w:val="22"/>
        </w:rPr>
        <w:t>2021</w:t>
      </w:r>
      <w:proofErr w:type="gramEnd"/>
      <w:r w:rsidRPr="00092F4A">
        <w:rPr>
          <w:rFonts w:ascii="Arial" w:hAnsi="Arial" w:cs="Arial"/>
          <w:sz w:val="22"/>
          <w:szCs w:val="22"/>
        </w:rPr>
        <w:t xml:space="preserve"> for monthly paid employees and for bi-weekly paid employees.</w:t>
      </w:r>
    </w:p>
    <w:p w14:paraId="0F669128" w14:textId="77777777" w:rsidR="0090537E" w:rsidRPr="00092F4A" w:rsidRDefault="0090537E" w:rsidP="0016515C">
      <w:pPr>
        <w:pStyle w:val="BasicParagraph"/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Each Dean and Vice Chancellor must prepare a distribution plan for this pool for the Chancellor’s approval under the following guidelines:</w:t>
      </w:r>
    </w:p>
    <w:p w14:paraId="6CDB73E9" w14:textId="10816D3B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Increases must average 1.</w:t>
      </w:r>
      <w:r w:rsidR="00305CEB" w:rsidRPr="00092F4A">
        <w:rPr>
          <w:rFonts w:ascii="Arial" w:hAnsi="Arial" w:cs="Arial"/>
          <w:sz w:val="22"/>
          <w:szCs w:val="22"/>
        </w:rPr>
        <w:t>0</w:t>
      </w:r>
      <w:r w:rsidRPr="00092F4A">
        <w:rPr>
          <w:rFonts w:ascii="Arial" w:hAnsi="Arial" w:cs="Arial"/>
          <w:sz w:val="22"/>
          <w:szCs w:val="22"/>
        </w:rPr>
        <w:t xml:space="preserve">% by college or division for unrestricted E&amp;G funds (i.e., state funded).  </w:t>
      </w:r>
    </w:p>
    <w:p w14:paraId="39FA9D51" w14:textId="20CB5AD7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Increases for self-funded, auxiliary, or restricted fund increases must average 1.</w:t>
      </w:r>
      <w:r w:rsidR="00BB338F" w:rsidRPr="00092F4A">
        <w:rPr>
          <w:rFonts w:ascii="Arial" w:hAnsi="Arial" w:cs="Arial"/>
          <w:sz w:val="22"/>
          <w:szCs w:val="22"/>
        </w:rPr>
        <w:t>0</w:t>
      </w:r>
      <w:r w:rsidRPr="00092F4A">
        <w:rPr>
          <w:rFonts w:ascii="Arial" w:hAnsi="Arial" w:cs="Arial"/>
          <w:sz w:val="22"/>
          <w:szCs w:val="22"/>
        </w:rPr>
        <w:t>%, and not more.</w:t>
      </w:r>
    </w:p>
    <w:p w14:paraId="5E720703" w14:textId="42343688" w:rsidR="0090537E" w:rsidRPr="00092F4A" w:rsidRDefault="0090537E" w:rsidP="0016515C">
      <w:pPr>
        <w:pStyle w:val="BasicParagraph"/>
        <w:numPr>
          <w:ilvl w:val="1"/>
          <w:numId w:val="3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Funds from one employee group can only be transferred to another group as follows:</w:t>
      </w:r>
    </w:p>
    <w:p w14:paraId="5783EF15" w14:textId="77777777" w:rsidR="0090537E" w:rsidRPr="00092F4A" w:rsidRDefault="0090537E" w:rsidP="0016515C">
      <w:pPr>
        <w:pStyle w:val="BasicParagraph"/>
        <w:numPr>
          <w:ilvl w:val="2"/>
          <w:numId w:val="6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From faculty to exempt or non-exempt employee groups</w:t>
      </w:r>
    </w:p>
    <w:p w14:paraId="7B77CF2B" w14:textId="77777777" w:rsidR="0090537E" w:rsidRPr="00092F4A" w:rsidRDefault="0090537E" w:rsidP="0016515C">
      <w:pPr>
        <w:pStyle w:val="BasicParagraph"/>
        <w:numPr>
          <w:ilvl w:val="2"/>
          <w:numId w:val="6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From exempt to non-exempt employee group.</w:t>
      </w:r>
    </w:p>
    <w:p w14:paraId="28B9320E" w14:textId="77777777" w:rsidR="0090537E" w:rsidRPr="00092F4A" w:rsidRDefault="0090537E" w:rsidP="0016515C">
      <w:pPr>
        <w:pStyle w:val="BasicParagraph"/>
        <w:numPr>
          <w:ilvl w:val="0"/>
          <w:numId w:val="2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Increases that exceed 10% must be submitted for further approvals.</w:t>
      </w:r>
    </w:p>
    <w:p w14:paraId="33E97898" w14:textId="77777777" w:rsidR="00E61055" w:rsidRPr="00092F4A" w:rsidRDefault="00961695" w:rsidP="00543AF2">
      <w:pPr>
        <w:pStyle w:val="BasicParagraph"/>
        <w:widowControl/>
        <w:numPr>
          <w:ilvl w:val="0"/>
          <w:numId w:val="2"/>
        </w:numPr>
        <w:adjustRightInd/>
        <w:textAlignment w:val="auto"/>
        <w:rPr>
          <w:rFonts w:ascii="Arial" w:eastAsia="Times New Roman" w:hAnsi="Arial" w:cs="Arial"/>
          <w:sz w:val="22"/>
          <w:szCs w:val="22"/>
        </w:rPr>
      </w:pPr>
      <w:r w:rsidRPr="00092F4A">
        <w:rPr>
          <w:rFonts w:ascii="Arial" w:eastAsia="Times New Roman" w:hAnsi="Arial" w:cs="Arial"/>
          <w:sz w:val="22"/>
          <w:szCs w:val="22"/>
        </w:rPr>
        <w:t xml:space="preserve">All employees are eligible for a merit increase who “meet expectations” or greater in their </w:t>
      </w:r>
      <w:r w:rsidRPr="00092F4A">
        <w:rPr>
          <w:rFonts w:ascii="Arial" w:eastAsia="Times New Roman" w:hAnsi="Arial" w:cs="Arial"/>
          <w:b/>
          <w:bCs/>
          <w:sz w:val="22"/>
          <w:szCs w:val="22"/>
        </w:rPr>
        <w:t>2020</w:t>
      </w:r>
      <w:r w:rsidRPr="00092F4A">
        <w:rPr>
          <w:rFonts w:ascii="Arial" w:eastAsia="Times New Roman" w:hAnsi="Arial" w:cs="Arial"/>
          <w:sz w:val="22"/>
          <w:szCs w:val="22"/>
        </w:rPr>
        <w:t xml:space="preserve"> annual evaluation</w:t>
      </w:r>
      <w:r w:rsidR="00E61055" w:rsidRPr="00092F4A">
        <w:rPr>
          <w:rFonts w:ascii="Arial" w:eastAsia="Times New Roman" w:hAnsi="Arial" w:cs="Arial"/>
          <w:sz w:val="22"/>
          <w:szCs w:val="22"/>
        </w:rPr>
        <w:t>.</w:t>
      </w:r>
    </w:p>
    <w:p w14:paraId="6A015848" w14:textId="5D6DC146" w:rsidR="00E61055" w:rsidRPr="00092F4A" w:rsidRDefault="00107021" w:rsidP="00543AF2">
      <w:pPr>
        <w:pStyle w:val="BasicParagraph"/>
        <w:widowControl/>
        <w:numPr>
          <w:ilvl w:val="0"/>
          <w:numId w:val="2"/>
        </w:numPr>
        <w:adjustRightInd/>
        <w:textAlignment w:val="auto"/>
        <w:rPr>
          <w:rFonts w:ascii="Arial" w:eastAsia="Times New Roman" w:hAnsi="Arial" w:cs="Arial"/>
          <w:sz w:val="22"/>
          <w:szCs w:val="22"/>
        </w:rPr>
      </w:pPr>
      <w:r w:rsidRPr="00092F4A">
        <w:rPr>
          <w:rFonts w:ascii="Arial" w:eastAsia="Times New Roman" w:hAnsi="Arial" w:cs="Arial"/>
          <w:sz w:val="22"/>
          <w:szCs w:val="22"/>
        </w:rPr>
        <w:t>In accordance with the F</w:t>
      </w:r>
      <w:r w:rsidR="00495DA2" w:rsidRPr="00092F4A">
        <w:rPr>
          <w:rFonts w:ascii="Arial" w:eastAsia="Times New Roman" w:hAnsi="Arial" w:cs="Arial"/>
          <w:sz w:val="22"/>
          <w:szCs w:val="22"/>
        </w:rPr>
        <w:t>aculty</w:t>
      </w:r>
      <w:r w:rsidRPr="00092F4A">
        <w:rPr>
          <w:rFonts w:ascii="Arial" w:eastAsia="Times New Roman" w:hAnsi="Arial" w:cs="Arial"/>
          <w:sz w:val="22"/>
          <w:szCs w:val="22"/>
        </w:rPr>
        <w:t xml:space="preserve"> Handbook, </w:t>
      </w:r>
      <w:r w:rsidR="00796E09" w:rsidRPr="00092F4A">
        <w:rPr>
          <w:rFonts w:ascii="Arial" w:eastAsia="Times New Roman" w:hAnsi="Arial" w:cs="Arial"/>
          <w:sz w:val="22"/>
          <w:szCs w:val="22"/>
        </w:rPr>
        <w:t>faculty</w:t>
      </w:r>
      <w:r w:rsidR="009B4058" w:rsidRPr="00092F4A">
        <w:rPr>
          <w:rFonts w:ascii="Arial" w:eastAsia="Times New Roman" w:hAnsi="Arial" w:cs="Arial"/>
          <w:sz w:val="22"/>
          <w:szCs w:val="22"/>
        </w:rPr>
        <w:t xml:space="preserve"> who receive a “needs improvement for rank</w:t>
      </w:r>
      <w:r w:rsidR="003818D7" w:rsidRPr="00092F4A">
        <w:rPr>
          <w:rFonts w:ascii="Arial" w:eastAsia="Times New Roman" w:hAnsi="Arial" w:cs="Arial"/>
          <w:sz w:val="22"/>
          <w:szCs w:val="22"/>
        </w:rPr>
        <w:t xml:space="preserve">” or “unsatisfactory for rank” evaluation </w:t>
      </w:r>
      <w:proofErr w:type="gramStart"/>
      <w:r w:rsidR="003818D7" w:rsidRPr="00092F4A">
        <w:rPr>
          <w:rFonts w:ascii="Arial" w:eastAsia="Times New Roman" w:hAnsi="Arial" w:cs="Arial"/>
          <w:sz w:val="22"/>
          <w:szCs w:val="22"/>
        </w:rPr>
        <w:t>are</w:t>
      </w:r>
      <w:proofErr w:type="gramEnd"/>
      <w:r w:rsidR="003818D7" w:rsidRPr="00092F4A">
        <w:rPr>
          <w:rFonts w:ascii="Arial" w:eastAsia="Times New Roman" w:hAnsi="Arial" w:cs="Arial"/>
          <w:sz w:val="22"/>
          <w:szCs w:val="22"/>
        </w:rPr>
        <w:t xml:space="preserve"> not eligible for a merit increase.</w:t>
      </w:r>
    </w:p>
    <w:p w14:paraId="5DD5C91D" w14:textId="7A9D6F7E" w:rsidR="00961695" w:rsidRPr="00092F4A" w:rsidRDefault="00961695" w:rsidP="00543AF2">
      <w:pPr>
        <w:pStyle w:val="BasicParagraph"/>
        <w:widowControl/>
        <w:numPr>
          <w:ilvl w:val="0"/>
          <w:numId w:val="2"/>
        </w:numPr>
        <w:adjustRightInd/>
        <w:textAlignment w:val="auto"/>
        <w:rPr>
          <w:rFonts w:ascii="Arial" w:eastAsia="Times New Roman" w:hAnsi="Arial" w:cs="Arial"/>
          <w:sz w:val="22"/>
          <w:szCs w:val="22"/>
        </w:rPr>
      </w:pPr>
      <w:r w:rsidRPr="00092F4A">
        <w:rPr>
          <w:rFonts w:ascii="Arial" w:eastAsia="Times New Roman" w:hAnsi="Arial" w:cs="Arial"/>
          <w:sz w:val="22"/>
          <w:szCs w:val="22"/>
        </w:rPr>
        <w:t xml:space="preserve"> </w:t>
      </w:r>
      <w:r w:rsidR="003818D7" w:rsidRPr="00092F4A">
        <w:rPr>
          <w:rFonts w:ascii="Arial" w:eastAsia="Times New Roman" w:hAnsi="Arial" w:cs="Arial"/>
          <w:sz w:val="22"/>
          <w:szCs w:val="22"/>
        </w:rPr>
        <w:t xml:space="preserve">Employees must </w:t>
      </w:r>
      <w:r w:rsidRPr="00092F4A">
        <w:rPr>
          <w:rFonts w:ascii="Arial" w:eastAsia="Times New Roman" w:hAnsi="Arial" w:cs="Arial"/>
          <w:sz w:val="22"/>
          <w:szCs w:val="22"/>
        </w:rPr>
        <w:t>have successfully completed their 180</w:t>
      </w:r>
      <w:r w:rsidR="00543AF2" w:rsidRPr="00092F4A">
        <w:rPr>
          <w:rFonts w:ascii="Arial" w:eastAsia="Times New Roman" w:hAnsi="Arial" w:cs="Arial"/>
          <w:sz w:val="22"/>
          <w:szCs w:val="22"/>
        </w:rPr>
        <w:t>-day</w:t>
      </w:r>
      <w:r w:rsidRPr="00092F4A">
        <w:rPr>
          <w:rFonts w:ascii="Arial" w:eastAsia="Times New Roman" w:hAnsi="Arial" w:cs="Arial"/>
          <w:sz w:val="22"/>
          <w:szCs w:val="22"/>
        </w:rPr>
        <w:t xml:space="preserve"> probationary period before June 30</w:t>
      </w:r>
      <w:r w:rsidR="003818D7" w:rsidRPr="00092F4A">
        <w:rPr>
          <w:rFonts w:ascii="Arial" w:eastAsia="Times New Roman" w:hAnsi="Arial" w:cs="Arial"/>
          <w:sz w:val="22"/>
          <w:szCs w:val="22"/>
        </w:rPr>
        <w:t xml:space="preserve"> to be eligible for a merit increase.</w:t>
      </w:r>
    </w:p>
    <w:p w14:paraId="26BD3A37" w14:textId="77777777" w:rsidR="0090537E" w:rsidRPr="00092F4A" w:rsidRDefault="0090537E" w:rsidP="0090537E">
      <w:pPr>
        <w:pStyle w:val="BasicParagraph"/>
        <w:numPr>
          <w:ilvl w:val="0"/>
          <w:numId w:val="2"/>
        </w:num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After the merit raises are determined, if there is a balance left in a pool, it can be allocated for equity or market adjustments within the employee group. </w:t>
      </w:r>
    </w:p>
    <w:p w14:paraId="446F0E9F" w14:textId="21CD31CD" w:rsidR="0090537E" w:rsidRPr="00092F4A" w:rsidRDefault="0090537E" w:rsidP="0090537E">
      <w:pPr>
        <w:pStyle w:val="BasicParagraph"/>
        <w:numPr>
          <w:ilvl w:val="0"/>
          <w:numId w:val="2"/>
        </w:numPr>
        <w:tabs>
          <w:tab w:val="left" w:pos="-720"/>
        </w:tabs>
        <w:rPr>
          <w:rFonts w:ascii="Arial" w:hAnsi="Arial" w:cs="Arial"/>
          <w:b/>
          <w:sz w:val="22"/>
          <w:szCs w:val="22"/>
        </w:rPr>
      </w:pPr>
      <w:r w:rsidRPr="00092F4A">
        <w:rPr>
          <w:rFonts w:ascii="Arial" w:hAnsi="Arial" w:cs="Arial"/>
          <w:b/>
          <w:sz w:val="22"/>
          <w:szCs w:val="22"/>
        </w:rPr>
        <w:t xml:space="preserve">Each College and Vice Chancellor Department must submit Merit Raise Plans to Finance and </w:t>
      </w:r>
      <w:r w:rsidR="00543AF2" w:rsidRPr="00092F4A">
        <w:rPr>
          <w:rFonts w:ascii="Arial" w:hAnsi="Arial" w:cs="Arial"/>
          <w:b/>
          <w:sz w:val="22"/>
          <w:szCs w:val="22"/>
        </w:rPr>
        <w:t>Administration</w:t>
      </w:r>
      <w:r w:rsidRPr="00092F4A">
        <w:rPr>
          <w:rFonts w:ascii="Arial" w:hAnsi="Arial" w:cs="Arial"/>
          <w:b/>
          <w:sz w:val="22"/>
          <w:szCs w:val="22"/>
        </w:rPr>
        <w:t xml:space="preserve"> for campus approvals no later than Friday, June 28, 20</w:t>
      </w:r>
      <w:r w:rsidR="00C70D1F" w:rsidRPr="00092F4A">
        <w:rPr>
          <w:rFonts w:ascii="Arial" w:hAnsi="Arial" w:cs="Arial"/>
          <w:b/>
          <w:sz w:val="22"/>
          <w:szCs w:val="22"/>
        </w:rPr>
        <w:t>21</w:t>
      </w:r>
      <w:r w:rsidRPr="00092F4A">
        <w:rPr>
          <w:rFonts w:ascii="Arial" w:hAnsi="Arial" w:cs="Arial"/>
          <w:b/>
          <w:sz w:val="22"/>
          <w:szCs w:val="22"/>
        </w:rPr>
        <w:t>.</w:t>
      </w:r>
    </w:p>
    <w:p w14:paraId="7390BDE7" w14:textId="5C903E39" w:rsidR="0090537E" w:rsidRPr="00092F4A" w:rsidRDefault="0090537E" w:rsidP="0090537E">
      <w:pPr>
        <w:pStyle w:val="BasicParagraph"/>
        <w:numPr>
          <w:ilvl w:val="0"/>
          <w:numId w:val="2"/>
        </w:num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 xml:space="preserve">All merit </w:t>
      </w:r>
      <w:proofErr w:type="gramStart"/>
      <w:r w:rsidRPr="00092F4A">
        <w:rPr>
          <w:rFonts w:ascii="Arial" w:hAnsi="Arial" w:cs="Arial"/>
          <w:sz w:val="22"/>
          <w:szCs w:val="22"/>
        </w:rPr>
        <w:t>raise</w:t>
      </w:r>
      <w:proofErr w:type="gramEnd"/>
      <w:r w:rsidRPr="00092F4A">
        <w:rPr>
          <w:rFonts w:ascii="Arial" w:hAnsi="Arial" w:cs="Arial"/>
          <w:sz w:val="22"/>
          <w:szCs w:val="22"/>
        </w:rPr>
        <w:t xml:space="preserve"> plans also require the approval of the University’s Chief Financial Officer and will be generally presented to the Board of Trustees at their October </w:t>
      </w:r>
      <w:r w:rsidR="00C70D1F" w:rsidRPr="00092F4A">
        <w:rPr>
          <w:rFonts w:ascii="Arial" w:hAnsi="Arial" w:cs="Arial"/>
          <w:sz w:val="22"/>
          <w:szCs w:val="22"/>
        </w:rPr>
        <w:t>2021</w:t>
      </w:r>
      <w:r w:rsidRPr="00092F4A">
        <w:rPr>
          <w:rFonts w:ascii="Arial" w:hAnsi="Arial" w:cs="Arial"/>
          <w:sz w:val="22"/>
          <w:szCs w:val="22"/>
        </w:rPr>
        <w:t xml:space="preserve"> meeting.</w:t>
      </w:r>
    </w:p>
    <w:p w14:paraId="12D24673" w14:textId="77777777" w:rsidR="0090537E" w:rsidRPr="00092F4A" w:rsidRDefault="0090537E" w:rsidP="0090537E">
      <w:pPr>
        <w:pStyle w:val="BasicParagraph"/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27E56340" w14:textId="77777777" w:rsidR="0090537E" w:rsidRPr="0090537E" w:rsidRDefault="0090537E" w:rsidP="0090537E">
      <w:pPr>
        <w:pStyle w:val="BasicParagraph"/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092F4A">
        <w:rPr>
          <w:rFonts w:ascii="Arial" w:hAnsi="Arial" w:cs="Arial"/>
          <w:sz w:val="22"/>
          <w:szCs w:val="22"/>
        </w:rPr>
        <w:t>AAF/</w:t>
      </w:r>
    </w:p>
    <w:p w14:paraId="261D4DF1" w14:textId="77777777" w:rsidR="0090537E" w:rsidRPr="0090537E" w:rsidRDefault="0090537E" w:rsidP="0090537E">
      <w:pPr>
        <w:pStyle w:val="BasicParagraph"/>
        <w:tabs>
          <w:tab w:val="left" w:pos="-720"/>
        </w:tabs>
        <w:rPr>
          <w:rFonts w:ascii="Arial" w:hAnsi="Arial" w:cs="Arial"/>
          <w:sz w:val="22"/>
          <w:szCs w:val="22"/>
        </w:rPr>
      </w:pPr>
    </w:p>
    <w:p w14:paraId="4D43D929" w14:textId="77777777" w:rsidR="0090537E" w:rsidRPr="0090537E" w:rsidRDefault="0090537E" w:rsidP="0090537E">
      <w:pPr>
        <w:pStyle w:val="BasicParagraph"/>
        <w:tabs>
          <w:tab w:val="left" w:pos="-720"/>
        </w:tabs>
        <w:rPr>
          <w:rFonts w:ascii="Arial" w:hAnsi="Arial" w:cs="Arial"/>
          <w:sz w:val="22"/>
          <w:szCs w:val="22"/>
        </w:rPr>
      </w:pPr>
    </w:p>
    <w:sectPr w:rsidR="0090537E" w:rsidRPr="0090537E" w:rsidSect="00024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865E" w14:textId="77777777" w:rsidR="002B2DC1" w:rsidRDefault="002B2DC1" w:rsidP="00196D65">
      <w:r>
        <w:separator/>
      </w:r>
    </w:p>
  </w:endnote>
  <w:endnote w:type="continuationSeparator" w:id="0">
    <w:p w14:paraId="731E3585" w14:textId="77777777" w:rsidR="002B2DC1" w:rsidRDefault="002B2DC1" w:rsidP="0019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7DAF" w14:textId="77777777" w:rsidR="00DE5351" w:rsidRDefault="00DE5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5572" w14:textId="77777777" w:rsidR="00DE5351" w:rsidRDefault="00DE5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8C3D" w14:textId="77777777" w:rsidR="00DE5351" w:rsidRDefault="00DE5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382D" w14:textId="77777777" w:rsidR="002B2DC1" w:rsidRDefault="002B2DC1" w:rsidP="00196D65">
      <w:r>
        <w:separator/>
      </w:r>
    </w:p>
  </w:footnote>
  <w:footnote w:type="continuationSeparator" w:id="0">
    <w:p w14:paraId="4E9457A3" w14:textId="77777777" w:rsidR="002B2DC1" w:rsidRDefault="002B2DC1" w:rsidP="0019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B76BC" w14:textId="56B75134" w:rsidR="00DE5351" w:rsidRDefault="00DE5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29C3" w14:textId="694C1EEC" w:rsidR="00DE5351" w:rsidRDefault="00DE5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7A80" w14:textId="6CD3C29D" w:rsidR="00917BAE" w:rsidRDefault="000241BD" w:rsidP="002E0618">
    <w:pPr>
      <w:pStyle w:val="Header"/>
      <w:tabs>
        <w:tab w:val="clear" w:pos="9360"/>
      </w:tabs>
      <w:ind w:left="-72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67F67" wp14:editId="422C1CFE">
          <wp:simplePos x="0" y="0"/>
          <wp:positionH relativeFrom="page">
            <wp:posOffset>-374150</wp:posOffset>
          </wp:positionH>
          <wp:positionV relativeFrom="paragraph">
            <wp:posOffset>-88212</wp:posOffset>
          </wp:positionV>
          <wp:extent cx="7726670" cy="1590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Sponsored Programs_Digital LH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70" cy="159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274"/>
    <w:multiLevelType w:val="hybridMultilevel"/>
    <w:tmpl w:val="A57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947"/>
    <w:multiLevelType w:val="hybridMultilevel"/>
    <w:tmpl w:val="F9945458"/>
    <w:lvl w:ilvl="0" w:tplc="E4203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65DE8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9900"/>
      </w:rPr>
    </w:lvl>
    <w:lvl w:ilvl="2" w:tplc="86FE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0AD47" w:themeColor="accent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0EA"/>
    <w:multiLevelType w:val="hybridMultilevel"/>
    <w:tmpl w:val="28C22182"/>
    <w:lvl w:ilvl="0" w:tplc="E4203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65DE8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99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3E78"/>
    <w:multiLevelType w:val="hybridMultilevel"/>
    <w:tmpl w:val="A474718E"/>
    <w:lvl w:ilvl="0" w:tplc="E4203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4B45"/>
    <w:multiLevelType w:val="hybridMultilevel"/>
    <w:tmpl w:val="A63E2D2E"/>
    <w:lvl w:ilvl="0" w:tplc="E4203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65DE8A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9900"/>
      </w:rPr>
    </w:lvl>
    <w:lvl w:ilvl="2" w:tplc="D2E4F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D7D31" w:themeColor="accent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50213"/>
    <w:multiLevelType w:val="multilevel"/>
    <w:tmpl w:val="F994545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99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0AD47" w:themeColor="accent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0118"/>
    <w:multiLevelType w:val="hybridMultilevel"/>
    <w:tmpl w:val="3C6449DC"/>
    <w:lvl w:ilvl="0" w:tplc="E42036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0C"/>
    <w:rsid w:val="000241BD"/>
    <w:rsid w:val="00033950"/>
    <w:rsid w:val="00046700"/>
    <w:rsid w:val="00092F4A"/>
    <w:rsid w:val="000D3FF2"/>
    <w:rsid w:val="00107021"/>
    <w:rsid w:val="001144C0"/>
    <w:rsid w:val="00137CF7"/>
    <w:rsid w:val="001426A2"/>
    <w:rsid w:val="00153D7E"/>
    <w:rsid w:val="0016515C"/>
    <w:rsid w:val="00167BAD"/>
    <w:rsid w:val="00170998"/>
    <w:rsid w:val="00175F59"/>
    <w:rsid w:val="00196D65"/>
    <w:rsid w:val="00213743"/>
    <w:rsid w:val="002230D9"/>
    <w:rsid w:val="002B2DC1"/>
    <w:rsid w:val="002C771E"/>
    <w:rsid w:val="002E0618"/>
    <w:rsid w:val="002E5BBE"/>
    <w:rsid w:val="002F12F0"/>
    <w:rsid w:val="002F326D"/>
    <w:rsid w:val="00304EFC"/>
    <w:rsid w:val="00305CEB"/>
    <w:rsid w:val="003818D7"/>
    <w:rsid w:val="003839C1"/>
    <w:rsid w:val="00394C96"/>
    <w:rsid w:val="003A3E80"/>
    <w:rsid w:val="00435A4B"/>
    <w:rsid w:val="0046554A"/>
    <w:rsid w:val="00495DA2"/>
    <w:rsid w:val="004A4678"/>
    <w:rsid w:val="004E51A2"/>
    <w:rsid w:val="005032A6"/>
    <w:rsid w:val="00543AF2"/>
    <w:rsid w:val="00572139"/>
    <w:rsid w:val="00572D09"/>
    <w:rsid w:val="00585F0A"/>
    <w:rsid w:val="005D70E1"/>
    <w:rsid w:val="006045EA"/>
    <w:rsid w:val="00695176"/>
    <w:rsid w:val="006C4A33"/>
    <w:rsid w:val="007413E6"/>
    <w:rsid w:val="00742BC6"/>
    <w:rsid w:val="00745469"/>
    <w:rsid w:val="00760775"/>
    <w:rsid w:val="00761DD3"/>
    <w:rsid w:val="0079003E"/>
    <w:rsid w:val="00796E09"/>
    <w:rsid w:val="007D1E87"/>
    <w:rsid w:val="007F35C9"/>
    <w:rsid w:val="0082001A"/>
    <w:rsid w:val="008479CC"/>
    <w:rsid w:val="00896A40"/>
    <w:rsid w:val="0090537E"/>
    <w:rsid w:val="00911799"/>
    <w:rsid w:val="00917BAE"/>
    <w:rsid w:val="00941B5A"/>
    <w:rsid w:val="00943E93"/>
    <w:rsid w:val="00961695"/>
    <w:rsid w:val="009B4058"/>
    <w:rsid w:val="009B5423"/>
    <w:rsid w:val="009C102C"/>
    <w:rsid w:val="00A16640"/>
    <w:rsid w:val="00A82D34"/>
    <w:rsid w:val="00AC7F52"/>
    <w:rsid w:val="00B631C8"/>
    <w:rsid w:val="00BA0C5C"/>
    <w:rsid w:val="00BA5CF2"/>
    <w:rsid w:val="00BB002A"/>
    <w:rsid w:val="00BB338F"/>
    <w:rsid w:val="00BC22E3"/>
    <w:rsid w:val="00BC5F04"/>
    <w:rsid w:val="00C349A0"/>
    <w:rsid w:val="00C70D1F"/>
    <w:rsid w:val="00C954C2"/>
    <w:rsid w:val="00C96155"/>
    <w:rsid w:val="00C97D0C"/>
    <w:rsid w:val="00CE7D5F"/>
    <w:rsid w:val="00CF100B"/>
    <w:rsid w:val="00CF2FDC"/>
    <w:rsid w:val="00D26807"/>
    <w:rsid w:val="00D57B25"/>
    <w:rsid w:val="00D85C20"/>
    <w:rsid w:val="00D87298"/>
    <w:rsid w:val="00D92668"/>
    <w:rsid w:val="00DE510C"/>
    <w:rsid w:val="00DE5351"/>
    <w:rsid w:val="00DF6AE9"/>
    <w:rsid w:val="00E61055"/>
    <w:rsid w:val="00E906C8"/>
    <w:rsid w:val="00F0767B"/>
    <w:rsid w:val="00F12305"/>
    <w:rsid w:val="00F40223"/>
    <w:rsid w:val="00F5655C"/>
    <w:rsid w:val="00F66CD7"/>
    <w:rsid w:val="00F6750A"/>
    <w:rsid w:val="00F70C58"/>
    <w:rsid w:val="00F77B27"/>
    <w:rsid w:val="00F81C19"/>
    <w:rsid w:val="00FF009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2440D"/>
  <w15:chartTrackingRefBased/>
  <w15:docId w15:val="{29DD622E-3BF5-244D-9700-9A56F6B8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41B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6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6D65"/>
  </w:style>
  <w:style w:type="paragraph" w:styleId="Footer">
    <w:name w:val="footer"/>
    <w:basedOn w:val="Normal"/>
    <w:link w:val="FooterChar"/>
    <w:uiPriority w:val="99"/>
    <w:unhideWhenUsed/>
    <w:rsid w:val="00196D6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6D65"/>
  </w:style>
  <w:style w:type="paragraph" w:customStyle="1" w:styleId="BasicParagraph">
    <w:name w:val="[Basic Paragraph]"/>
    <w:basedOn w:val="Normal"/>
    <w:uiPriority w:val="99"/>
    <w:rsid w:val="000241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0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4A4678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BB002A"/>
    <w:pPr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Ferrara, Anthony Alan</dc:creator>
  <cp:keywords/>
  <dc:description/>
  <cp:lastModifiedBy>Ferrara, Anthony Alan</cp:lastModifiedBy>
  <cp:revision>3</cp:revision>
  <cp:lastPrinted>2017-08-17T20:40:00Z</cp:lastPrinted>
  <dcterms:created xsi:type="dcterms:W3CDTF">2021-06-01T14:31:00Z</dcterms:created>
  <dcterms:modified xsi:type="dcterms:W3CDTF">2021-06-01T14:32:00Z</dcterms:modified>
</cp:coreProperties>
</file>