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E02F1" w14:textId="77777777" w:rsidR="006B656A" w:rsidRPr="00981F92" w:rsidRDefault="006C4149" w:rsidP="00981F92">
      <w:pPr>
        <w:spacing w:after="0" w:line="240" w:lineRule="auto"/>
        <w:jc w:val="center"/>
        <w:rPr>
          <w:b/>
          <w:sz w:val="28"/>
        </w:rPr>
      </w:pPr>
      <w:bookmarkStart w:id="0" w:name="_GoBack"/>
      <w:bookmarkEnd w:id="0"/>
      <w:r w:rsidRPr="00981F92">
        <w:rPr>
          <w:b/>
          <w:sz w:val="28"/>
        </w:rPr>
        <w:t>Strategic Planning Report – 2015-2016</w:t>
      </w:r>
    </w:p>
    <w:p w14:paraId="6B139CA2" w14:textId="7D7D8A82" w:rsidR="006C4149" w:rsidRDefault="004B3C6A" w:rsidP="00981F92">
      <w:pPr>
        <w:spacing w:after="0" w:line="240" w:lineRule="auto"/>
        <w:jc w:val="center"/>
        <w:rPr>
          <w:b/>
          <w:sz w:val="28"/>
        </w:rPr>
      </w:pPr>
      <w:r>
        <w:rPr>
          <w:b/>
          <w:sz w:val="28"/>
        </w:rPr>
        <w:t>Unit:</w:t>
      </w:r>
      <w:r w:rsidR="00286B67">
        <w:rPr>
          <w:b/>
          <w:sz w:val="28"/>
        </w:rPr>
        <w:t xml:space="preserve"> </w:t>
      </w:r>
      <w:r w:rsidR="00A1277E">
        <w:rPr>
          <w:b/>
          <w:sz w:val="28"/>
        </w:rPr>
        <w:t>____</w:t>
      </w:r>
      <w:r w:rsidR="00DB4746" w:rsidRPr="00DB4746">
        <w:rPr>
          <w:b/>
          <w:sz w:val="28"/>
          <w:u w:val="single"/>
        </w:rPr>
        <w:t>College of Health Professions</w:t>
      </w:r>
      <w:r w:rsidR="00A1277E">
        <w:rPr>
          <w:b/>
          <w:sz w:val="28"/>
        </w:rPr>
        <w:t>__________</w:t>
      </w:r>
    </w:p>
    <w:p w14:paraId="30CC4D98" w14:textId="75181146" w:rsidR="00286B67" w:rsidRDefault="00286B67" w:rsidP="00981F92">
      <w:pPr>
        <w:spacing w:after="0" w:line="240" w:lineRule="auto"/>
        <w:jc w:val="center"/>
        <w:rPr>
          <w:b/>
          <w:sz w:val="28"/>
        </w:rPr>
      </w:pPr>
      <w:r>
        <w:rPr>
          <w:b/>
          <w:sz w:val="28"/>
        </w:rPr>
        <w:t xml:space="preserve">Administrative Lead:  </w:t>
      </w:r>
      <w:r w:rsidR="00A1277E">
        <w:rPr>
          <w:b/>
          <w:sz w:val="28"/>
        </w:rPr>
        <w:t>___</w:t>
      </w:r>
      <w:r w:rsidR="00DB4746" w:rsidRPr="00DB4746">
        <w:rPr>
          <w:b/>
          <w:sz w:val="28"/>
          <w:u w:val="single"/>
        </w:rPr>
        <w:t>Dean Noma Anderson</w:t>
      </w:r>
      <w:r w:rsidR="00A1277E">
        <w:rPr>
          <w:b/>
          <w:sz w:val="28"/>
        </w:rPr>
        <w:t xml:space="preserve">______________ </w:t>
      </w:r>
    </w:p>
    <w:p w14:paraId="6A6CDED2" w14:textId="77777777" w:rsidR="00981F92" w:rsidRDefault="00981F92" w:rsidP="00981F92">
      <w:pPr>
        <w:spacing w:after="0" w:line="240" w:lineRule="auto"/>
        <w:jc w:val="center"/>
      </w:pPr>
    </w:p>
    <w:tbl>
      <w:tblPr>
        <w:tblW w:w="12960" w:type="dxa"/>
        <w:tblInd w:w="-72" w:type="dxa"/>
        <w:tblLayout w:type="fixed"/>
        <w:tblLook w:val="04A0" w:firstRow="1" w:lastRow="0" w:firstColumn="1" w:lastColumn="0" w:noHBand="0" w:noVBand="1"/>
      </w:tblPr>
      <w:tblGrid>
        <w:gridCol w:w="3060"/>
        <w:gridCol w:w="4950"/>
        <w:gridCol w:w="4950"/>
      </w:tblGrid>
      <w:tr w:rsidR="004B3C6A" w:rsidRPr="004E0EB7" w14:paraId="730188A2" w14:textId="77777777" w:rsidTr="004B3C6A">
        <w:trPr>
          <w:trHeight w:val="431"/>
        </w:trPr>
        <w:tc>
          <w:tcPr>
            <w:tcW w:w="3060" w:type="dxa"/>
            <w:tcBorders>
              <w:top w:val="single" w:sz="4" w:space="0" w:color="auto"/>
              <w:left w:val="single" w:sz="4" w:space="0" w:color="auto"/>
              <w:right w:val="single" w:sz="4" w:space="0" w:color="auto"/>
            </w:tcBorders>
            <w:shd w:val="clear" w:color="auto" w:fill="auto"/>
            <w:vAlign w:val="center"/>
          </w:tcPr>
          <w:p w14:paraId="641A26AB" w14:textId="3893CB07" w:rsidR="004B3C6A" w:rsidRDefault="006923FB" w:rsidP="006923FB">
            <w:pPr>
              <w:spacing w:after="0" w:line="240" w:lineRule="auto"/>
              <w:ind w:right="-18"/>
              <w:jc w:val="center"/>
              <w:rPr>
                <w:rFonts w:ascii="Arial" w:eastAsia="Times New Roman" w:hAnsi="Arial" w:cs="Arial"/>
                <w:b/>
                <w:bCs/>
                <w:sz w:val="20"/>
                <w:szCs w:val="20"/>
              </w:rPr>
            </w:pPr>
            <w:r>
              <w:rPr>
                <w:rFonts w:ascii="Arial" w:eastAsia="Times New Roman" w:hAnsi="Arial" w:cs="Arial"/>
                <w:b/>
                <w:bCs/>
                <w:sz w:val="20"/>
                <w:szCs w:val="20"/>
              </w:rPr>
              <w:t xml:space="preserve">Strategic </w:t>
            </w:r>
            <w:r w:rsidR="004B3C6A">
              <w:rPr>
                <w:rFonts w:ascii="Arial" w:eastAsia="Times New Roman" w:hAnsi="Arial" w:cs="Arial"/>
                <w:b/>
                <w:bCs/>
                <w:sz w:val="20"/>
                <w:szCs w:val="20"/>
              </w:rPr>
              <w:t>Priorit</w:t>
            </w:r>
            <w:r>
              <w:rPr>
                <w:rFonts w:ascii="Arial" w:eastAsia="Times New Roman" w:hAnsi="Arial" w:cs="Arial"/>
                <w:b/>
                <w:bCs/>
                <w:sz w:val="20"/>
                <w:szCs w:val="20"/>
              </w:rPr>
              <w:t>y</w:t>
            </w:r>
          </w:p>
        </w:tc>
        <w:tc>
          <w:tcPr>
            <w:tcW w:w="4950" w:type="dxa"/>
            <w:tcBorders>
              <w:top w:val="single" w:sz="4" w:space="0" w:color="auto"/>
              <w:left w:val="single" w:sz="4" w:space="0" w:color="auto"/>
              <w:right w:val="single" w:sz="4" w:space="0" w:color="auto"/>
            </w:tcBorders>
            <w:shd w:val="clear" w:color="auto" w:fill="auto"/>
            <w:vAlign w:val="center"/>
          </w:tcPr>
          <w:p w14:paraId="3B86CC41" w14:textId="720FCD66" w:rsidR="004B3C6A" w:rsidRDefault="004B3C6A" w:rsidP="004B3C6A">
            <w:pPr>
              <w:spacing w:after="0" w:line="240" w:lineRule="auto"/>
              <w:ind w:right="-18"/>
              <w:jc w:val="center"/>
              <w:rPr>
                <w:rFonts w:ascii="Arial" w:eastAsia="Times New Roman" w:hAnsi="Arial" w:cs="Arial"/>
                <w:b/>
                <w:bCs/>
                <w:sz w:val="20"/>
                <w:szCs w:val="20"/>
              </w:rPr>
            </w:pPr>
            <w:r>
              <w:rPr>
                <w:rFonts w:ascii="Arial" w:eastAsia="Times New Roman" w:hAnsi="Arial" w:cs="Arial"/>
                <w:b/>
                <w:bCs/>
                <w:sz w:val="20"/>
                <w:szCs w:val="20"/>
              </w:rPr>
              <w:t>Initiative</w:t>
            </w:r>
          </w:p>
        </w:tc>
        <w:tc>
          <w:tcPr>
            <w:tcW w:w="4950" w:type="dxa"/>
            <w:tcBorders>
              <w:top w:val="single" w:sz="4" w:space="0" w:color="auto"/>
              <w:left w:val="single" w:sz="4" w:space="0" w:color="auto"/>
              <w:right w:val="single" w:sz="4" w:space="0" w:color="000000"/>
            </w:tcBorders>
            <w:shd w:val="clear" w:color="auto" w:fill="auto"/>
            <w:vAlign w:val="center"/>
          </w:tcPr>
          <w:p w14:paraId="5A4A6495" w14:textId="4B59E224" w:rsidR="004B3C6A" w:rsidRDefault="006923FB" w:rsidP="006923FB">
            <w:pPr>
              <w:spacing w:after="0" w:line="240" w:lineRule="auto"/>
              <w:ind w:right="-18"/>
              <w:jc w:val="center"/>
              <w:rPr>
                <w:rFonts w:ascii="Arial" w:eastAsia="Times New Roman" w:hAnsi="Arial" w:cs="Arial"/>
                <w:b/>
                <w:bCs/>
                <w:sz w:val="20"/>
                <w:szCs w:val="20"/>
              </w:rPr>
            </w:pPr>
            <w:r>
              <w:rPr>
                <w:rFonts w:ascii="Arial" w:eastAsia="Times New Roman" w:hAnsi="Arial" w:cs="Arial"/>
                <w:b/>
                <w:bCs/>
                <w:sz w:val="20"/>
                <w:szCs w:val="20"/>
              </w:rPr>
              <w:t>Accomplishments</w:t>
            </w:r>
          </w:p>
        </w:tc>
      </w:tr>
      <w:tr w:rsidR="00855D82" w:rsidRPr="004E0EB7" w14:paraId="48C3CFC8" w14:textId="77777777" w:rsidTr="00A1277E">
        <w:trPr>
          <w:trHeight w:val="863"/>
        </w:trPr>
        <w:tc>
          <w:tcPr>
            <w:tcW w:w="3060" w:type="dxa"/>
            <w:tcBorders>
              <w:top w:val="single" w:sz="4" w:space="0" w:color="auto"/>
              <w:left w:val="single" w:sz="4" w:space="0" w:color="auto"/>
              <w:right w:val="single" w:sz="4" w:space="0" w:color="auto"/>
            </w:tcBorders>
            <w:shd w:val="clear" w:color="auto" w:fill="auto"/>
            <w:vAlign w:val="center"/>
          </w:tcPr>
          <w:p w14:paraId="512D52F3" w14:textId="77777777" w:rsidR="00855D82" w:rsidRPr="004B3C6A" w:rsidRDefault="00855D82" w:rsidP="004B3C6A">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Strategic Priority A:  </w:t>
            </w:r>
          </w:p>
          <w:p w14:paraId="5129F2A4" w14:textId="52D40F3D" w:rsidR="00855D82" w:rsidRPr="004B3C6A" w:rsidRDefault="00855D82" w:rsidP="004B3C6A">
            <w:pPr>
              <w:spacing w:after="0" w:line="240" w:lineRule="auto"/>
              <w:ind w:left="162" w:right="-18"/>
              <w:rPr>
                <w:rFonts w:ascii="Arial" w:eastAsia="Times New Roman" w:hAnsi="Arial" w:cs="Arial"/>
                <w:bCs/>
                <w:sz w:val="20"/>
                <w:szCs w:val="20"/>
              </w:rPr>
            </w:pPr>
            <w:r w:rsidRPr="004B3C6A">
              <w:rPr>
                <w:rFonts w:asciiTheme="majorHAnsi" w:eastAsia="Times New Roman" w:hAnsiTheme="majorHAnsi" w:cs="Arial"/>
                <w:bCs/>
                <w:sz w:val="16"/>
                <w:szCs w:val="16"/>
              </w:rPr>
              <w:t>Educate Outstanding Graduates Who Meet the Needs of the State &amp; Its Communities</w:t>
            </w:r>
          </w:p>
        </w:tc>
        <w:tc>
          <w:tcPr>
            <w:tcW w:w="4950" w:type="dxa"/>
            <w:tcBorders>
              <w:top w:val="single" w:sz="4" w:space="0" w:color="auto"/>
              <w:left w:val="single" w:sz="4" w:space="0" w:color="auto"/>
              <w:right w:val="single" w:sz="4" w:space="0" w:color="auto"/>
            </w:tcBorders>
            <w:shd w:val="clear" w:color="auto" w:fill="auto"/>
            <w:vAlign w:val="center"/>
          </w:tcPr>
          <w:p w14:paraId="7C835067" w14:textId="5688E703" w:rsidR="00855D82" w:rsidRPr="00A1277E" w:rsidRDefault="003811BB" w:rsidP="00855D82">
            <w:pPr>
              <w:ind w:right="-18"/>
              <w:rPr>
                <w:rFonts w:asciiTheme="majorHAnsi" w:eastAsia="Times New Roman" w:hAnsiTheme="majorHAnsi" w:cs="Arial"/>
                <w:bCs/>
                <w:sz w:val="16"/>
                <w:szCs w:val="16"/>
              </w:rPr>
            </w:pPr>
            <w:r>
              <w:rPr>
                <w:rFonts w:asciiTheme="majorHAnsi" w:eastAsia="Times New Roman" w:hAnsiTheme="majorHAnsi" w:cs="Arial"/>
                <w:bCs/>
                <w:sz w:val="16"/>
                <w:szCs w:val="16"/>
              </w:rPr>
              <w:t>Improve Educational Strategies Across the Disciplines</w:t>
            </w:r>
          </w:p>
        </w:tc>
        <w:tc>
          <w:tcPr>
            <w:tcW w:w="4950" w:type="dxa"/>
            <w:tcBorders>
              <w:top w:val="single" w:sz="4" w:space="0" w:color="auto"/>
              <w:left w:val="single" w:sz="4" w:space="0" w:color="auto"/>
              <w:right w:val="single" w:sz="4" w:space="0" w:color="000000"/>
            </w:tcBorders>
            <w:shd w:val="clear" w:color="auto" w:fill="auto"/>
            <w:vAlign w:val="center"/>
          </w:tcPr>
          <w:p w14:paraId="459F86A3" w14:textId="77777777" w:rsidR="00855D82" w:rsidRDefault="003811BB" w:rsidP="003811BB">
            <w:pPr>
              <w:pStyle w:val="ListParagraph"/>
              <w:numPr>
                <w:ilvl w:val="0"/>
                <w:numId w:val="10"/>
              </w:numPr>
              <w:spacing w:after="0" w:line="240" w:lineRule="auto"/>
              <w:jc w:val="both"/>
              <w:rPr>
                <w:rFonts w:asciiTheme="majorHAnsi" w:hAnsiTheme="majorHAnsi"/>
                <w:sz w:val="16"/>
                <w:szCs w:val="16"/>
              </w:rPr>
            </w:pPr>
            <w:r>
              <w:rPr>
                <w:rFonts w:asciiTheme="majorHAnsi" w:hAnsiTheme="majorHAnsi"/>
                <w:sz w:val="16"/>
                <w:szCs w:val="16"/>
              </w:rPr>
              <w:t>100% employment of graduates</w:t>
            </w:r>
          </w:p>
          <w:p w14:paraId="30872B8E" w14:textId="77777777" w:rsidR="003811BB" w:rsidRDefault="003811BB" w:rsidP="003811BB">
            <w:pPr>
              <w:pStyle w:val="ListParagraph"/>
              <w:numPr>
                <w:ilvl w:val="0"/>
                <w:numId w:val="10"/>
              </w:numPr>
              <w:spacing w:after="0" w:line="240" w:lineRule="auto"/>
              <w:jc w:val="both"/>
              <w:rPr>
                <w:rFonts w:asciiTheme="majorHAnsi" w:hAnsiTheme="majorHAnsi"/>
                <w:sz w:val="16"/>
                <w:szCs w:val="16"/>
              </w:rPr>
            </w:pPr>
            <w:r>
              <w:rPr>
                <w:rFonts w:asciiTheme="majorHAnsi" w:hAnsiTheme="majorHAnsi"/>
                <w:sz w:val="16"/>
                <w:szCs w:val="16"/>
              </w:rPr>
              <w:t>100% licensure pass rates within one year of graduation</w:t>
            </w:r>
          </w:p>
          <w:p w14:paraId="1DD35638" w14:textId="77777777" w:rsidR="00600A02" w:rsidRDefault="00600A02" w:rsidP="003811BB">
            <w:pPr>
              <w:pStyle w:val="ListParagraph"/>
              <w:numPr>
                <w:ilvl w:val="0"/>
                <w:numId w:val="10"/>
              </w:numPr>
              <w:spacing w:after="0" w:line="240" w:lineRule="auto"/>
              <w:jc w:val="both"/>
              <w:rPr>
                <w:rFonts w:asciiTheme="majorHAnsi" w:hAnsiTheme="majorHAnsi"/>
                <w:sz w:val="16"/>
                <w:szCs w:val="16"/>
              </w:rPr>
            </w:pPr>
            <w:r>
              <w:rPr>
                <w:rFonts w:asciiTheme="majorHAnsi" w:hAnsiTheme="majorHAnsi"/>
                <w:sz w:val="16"/>
                <w:szCs w:val="16"/>
              </w:rPr>
              <w:t>92% first time pass rate for inaugural PA class</w:t>
            </w:r>
          </w:p>
          <w:p w14:paraId="514E6D4C" w14:textId="3038D91D" w:rsidR="00600A02" w:rsidRPr="00A1277E" w:rsidRDefault="00600A02" w:rsidP="003811BB">
            <w:pPr>
              <w:pStyle w:val="ListParagraph"/>
              <w:numPr>
                <w:ilvl w:val="0"/>
                <w:numId w:val="10"/>
              </w:numPr>
              <w:spacing w:after="0" w:line="240" w:lineRule="auto"/>
              <w:jc w:val="both"/>
              <w:rPr>
                <w:rFonts w:asciiTheme="majorHAnsi" w:hAnsiTheme="majorHAnsi"/>
                <w:sz w:val="16"/>
                <w:szCs w:val="16"/>
              </w:rPr>
            </w:pPr>
            <w:r>
              <w:rPr>
                <w:rFonts w:asciiTheme="majorHAnsi" w:hAnsiTheme="majorHAnsi"/>
                <w:sz w:val="16"/>
                <w:szCs w:val="16"/>
              </w:rPr>
              <w:t>Obtained access to a course designer</w:t>
            </w:r>
          </w:p>
        </w:tc>
      </w:tr>
      <w:tr w:rsidR="004B3C6A" w:rsidRPr="004E0EB7" w14:paraId="2CADA1BE" w14:textId="77777777" w:rsidTr="004B3C6A">
        <w:trPr>
          <w:trHeight w:val="431"/>
        </w:trPr>
        <w:tc>
          <w:tcPr>
            <w:tcW w:w="3060" w:type="dxa"/>
            <w:tcBorders>
              <w:top w:val="single" w:sz="4" w:space="0" w:color="auto"/>
              <w:left w:val="single" w:sz="4" w:space="0" w:color="auto"/>
              <w:right w:val="single" w:sz="4" w:space="0" w:color="auto"/>
            </w:tcBorders>
            <w:shd w:val="clear" w:color="auto" w:fill="auto"/>
            <w:vAlign w:val="center"/>
          </w:tcPr>
          <w:p w14:paraId="2C5984A2" w14:textId="4F9F6029" w:rsidR="004B3C6A" w:rsidRPr="004B3C6A" w:rsidRDefault="004B3C6A" w:rsidP="004B3C6A">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Strategic Priority B:  </w:t>
            </w:r>
          </w:p>
          <w:p w14:paraId="542B6D26" w14:textId="0141FCCB" w:rsidR="004B3C6A" w:rsidRPr="004B3C6A" w:rsidRDefault="004B3C6A" w:rsidP="004B3C6A">
            <w:pPr>
              <w:spacing w:after="0" w:line="240" w:lineRule="auto"/>
              <w:ind w:left="162" w:right="-18"/>
              <w:rPr>
                <w:rFonts w:ascii="Arial" w:eastAsia="Times New Roman" w:hAnsi="Arial" w:cs="Arial"/>
                <w:bCs/>
                <w:sz w:val="20"/>
                <w:szCs w:val="20"/>
              </w:rPr>
            </w:pPr>
            <w:r w:rsidRPr="004B3C6A">
              <w:rPr>
                <w:rFonts w:asciiTheme="majorHAnsi" w:eastAsia="Times New Roman" w:hAnsiTheme="majorHAnsi" w:cs="Arial"/>
                <w:bCs/>
                <w:sz w:val="16"/>
                <w:szCs w:val="16"/>
              </w:rPr>
              <w:t>Grow the Research Portfolio Focusing on Targeted Areas</w:t>
            </w:r>
          </w:p>
        </w:tc>
        <w:tc>
          <w:tcPr>
            <w:tcW w:w="4950" w:type="dxa"/>
            <w:tcBorders>
              <w:top w:val="single" w:sz="4" w:space="0" w:color="auto"/>
              <w:left w:val="single" w:sz="4" w:space="0" w:color="auto"/>
              <w:right w:val="single" w:sz="4" w:space="0" w:color="auto"/>
            </w:tcBorders>
            <w:shd w:val="clear" w:color="auto" w:fill="auto"/>
            <w:vAlign w:val="center"/>
          </w:tcPr>
          <w:p w14:paraId="1C6B10E9" w14:textId="1309FA71" w:rsidR="004B3C6A" w:rsidRPr="00A1277E" w:rsidRDefault="00C1461F" w:rsidP="004B3C6A">
            <w:p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Secure Sustainable Financial Resources Grants/Contracts</w:t>
            </w:r>
          </w:p>
        </w:tc>
        <w:tc>
          <w:tcPr>
            <w:tcW w:w="4950" w:type="dxa"/>
            <w:tcBorders>
              <w:top w:val="single" w:sz="4" w:space="0" w:color="auto"/>
              <w:left w:val="single" w:sz="4" w:space="0" w:color="auto"/>
              <w:right w:val="single" w:sz="4" w:space="0" w:color="000000"/>
            </w:tcBorders>
            <w:shd w:val="clear" w:color="auto" w:fill="auto"/>
            <w:vAlign w:val="center"/>
          </w:tcPr>
          <w:p w14:paraId="7E2AF503" w14:textId="77777777" w:rsidR="00285FD4" w:rsidRDefault="00C1461F" w:rsidP="00C1461F">
            <w:pPr>
              <w:pStyle w:val="ListParagraph"/>
              <w:numPr>
                <w:ilvl w:val="0"/>
                <w:numId w:val="7"/>
              </w:num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A record number: 25 proposals have been submitted to funding agencies among the 6 departments in COHP from July 15 – April 16.  Of these proposals 4 have been funded, 7 are still in review.</w:t>
            </w:r>
          </w:p>
          <w:p w14:paraId="7E0485DF" w14:textId="77777777" w:rsidR="00C1461F" w:rsidRDefault="00C1461F" w:rsidP="00C1461F">
            <w:pPr>
              <w:pStyle w:val="ListParagraph"/>
              <w:numPr>
                <w:ilvl w:val="0"/>
                <w:numId w:val="7"/>
              </w:num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 xml:space="preserve">A grant writer has been consulted to assist each department to develop mission statements to be used for future proposals. </w:t>
            </w:r>
          </w:p>
          <w:p w14:paraId="210735F4" w14:textId="60B9C55A" w:rsidR="00C1461F" w:rsidRPr="00C1461F" w:rsidRDefault="00C1461F" w:rsidP="00C1461F">
            <w:pPr>
              <w:pStyle w:val="ListParagraph"/>
              <w:numPr>
                <w:ilvl w:val="0"/>
                <w:numId w:val="7"/>
              </w:num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Active search for a statistician to be shared with CON is underway to assist with grantsmanship.</w:t>
            </w:r>
          </w:p>
        </w:tc>
      </w:tr>
      <w:tr w:rsidR="00855D82" w:rsidRPr="004E0EB7" w14:paraId="530194BD" w14:textId="77777777" w:rsidTr="00A1277E">
        <w:trPr>
          <w:trHeight w:val="575"/>
        </w:trPr>
        <w:tc>
          <w:tcPr>
            <w:tcW w:w="3060" w:type="dxa"/>
            <w:tcBorders>
              <w:top w:val="single" w:sz="4" w:space="0" w:color="auto"/>
              <w:left w:val="single" w:sz="4" w:space="0" w:color="auto"/>
              <w:right w:val="single" w:sz="4" w:space="0" w:color="auto"/>
            </w:tcBorders>
            <w:shd w:val="clear" w:color="auto" w:fill="auto"/>
            <w:vAlign w:val="center"/>
          </w:tcPr>
          <w:p w14:paraId="5B8BA53A" w14:textId="0E90B699" w:rsidR="00855D82" w:rsidRPr="004B3C6A" w:rsidRDefault="00855D82" w:rsidP="004B3C6A">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Strategic Priority C:  </w:t>
            </w:r>
          </w:p>
          <w:p w14:paraId="406BA70F" w14:textId="174E85BB" w:rsidR="00855D82" w:rsidRPr="004B3C6A" w:rsidRDefault="00855D82" w:rsidP="004B3C6A">
            <w:pPr>
              <w:spacing w:after="0" w:line="240" w:lineRule="auto"/>
              <w:ind w:left="162" w:right="-18"/>
              <w:rPr>
                <w:rFonts w:ascii="Arial" w:eastAsia="Times New Roman" w:hAnsi="Arial" w:cs="Arial"/>
                <w:bCs/>
                <w:sz w:val="20"/>
                <w:szCs w:val="20"/>
              </w:rPr>
            </w:pPr>
            <w:r w:rsidRPr="004B3C6A">
              <w:rPr>
                <w:rFonts w:asciiTheme="majorHAnsi" w:eastAsia="Times New Roman" w:hAnsiTheme="majorHAnsi" w:cs="Arial"/>
                <w:bCs/>
                <w:sz w:val="16"/>
                <w:szCs w:val="16"/>
              </w:rPr>
              <w:t>Create Areas of Clinical Prominence While Expanding Outreach</w:t>
            </w:r>
          </w:p>
        </w:tc>
        <w:tc>
          <w:tcPr>
            <w:tcW w:w="4950" w:type="dxa"/>
            <w:tcBorders>
              <w:top w:val="single" w:sz="4" w:space="0" w:color="auto"/>
              <w:left w:val="single" w:sz="4" w:space="0" w:color="auto"/>
              <w:right w:val="single" w:sz="4" w:space="0" w:color="auto"/>
            </w:tcBorders>
            <w:shd w:val="clear" w:color="auto" w:fill="auto"/>
            <w:vAlign w:val="center"/>
          </w:tcPr>
          <w:p w14:paraId="5DAA2B96" w14:textId="3ACC8985" w:rsidR="00855D82" w:rsidRPr="00A1277E" w:rsidRDefault="00192546" w:rsidP="004B3C6A">
            <w:p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Expand Clinical Enterprise</w:t>
            </w:r>
          </w:p>
        </w:tc>
        <w:tc>
          <w:tcPr>
            <w:tcW w:w="4950" w:type="dxa"/>
            <w:tcBorders>
              <w:top w:val="single" w:sz="4" w:space="0" w:color="auto"/>
              <w:left w:val="single" w:sz="4" w:space="0" w:color="auto"/>
              <w:right w:val="single" w:sz="4" w:space="0" w:color="000000"/>
            </w:tcBorders>
            <w:shd w:val="clear" w:color="auto" w:fill="auto"/>
            <w:vAlign w:val="center"/>
          </w:tcPr>
          <w:p w14:paraId="4170DC7A" w14:textId="77777777" w:rsidR="00855D82" w:rsidRDefault="0096504D" w:rsidP="005760D1">
            <w:pPr>
              <w:pStyle w:val="ListParagraph"/>
              <w:numPr>
                <w:ilvl w:val="0"/>
                <w:numId w:val="11"/>
              </w:num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OT opened student-</w:t>
            </w:r>
            <w:r w:rsidR="005E173F">
              <w:rPr>
                <w:rFonts w:asciiTheme="majorHAnsi" w:eastAsia="Times New Roman" w:hAnsiTheme="majorHAnsi" w:cs="Arial"/>
                <w:bCs/>
                <w:sz w:val="16"/>
                <w:szCs w:val="16"/>
              </w:rPr>
              <w:t xml:space="preserve">run pro bono clinic for </w:t>
            </w:r>
            <w:r w:rsidR="005760D1">
              <w:rPr>
                <w:rFonts w:asciiTheme="majorHAnsi" w:eastAsia="Times New Roman" w:hAnsiTheme="majorHAnsi" w:cs="Arial"/>
                <w:bCs/>
                <w:sz w:val="16"/>
                <w:szCs w:val="16"/>
              </w:rPr>
              <w:t xml:space="preserve">uninsured and underinsured </w:t>
            </w:r>
            <w:r>
              <w:rPr>
                <w:rFonts w:asciiTheme="majorHAnsi" w:eastAsia="Times New Roman" w:hAnsiTheme="majorHAnsi" w:cs="Arial"/>
                <w:bCs/>
                <w:sz w:val="16"/>
                <w:szCs w:val="16"/>
              </w:rPr>
              <w:t xml:space="preserve">children with </w:t>
            </w:r>
            <w:r w:rsidR="005760D1">
              <w:rPr>
                <w:rFonts w:asciiTheme="majorHAnsi" w:eastAsia="Times New Roman" w:hAnsiTheme="majorHAnsi" w:cs="Arial"/>
                <w:bCs/>
                <w:sz w:val="16"/>
                <w:szCs w:val="16"/>
              </w:rPr>
              <w:t>special needs</w:t>
            </w:r>
          </w:p>
          <w:p w14:paraId="7CF4B646" w14:textId="6EE9C700" w:rsidR="005760D1" w:rsidRPr="00A1277E" w:rsidRDefault="00173CC6" w:rsidP="00173CC6">
            <w:pPr>
              <w:pStyle w:val="ListParagraph"/>
              <w:numPr>
                <w:ilvl w:val="0"/>
                <w:numId w:val="11"/>
              </w:num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 xml:space="preserve">University Therapists moved </w:t>
            </w:r>
            <w:r w:rsidR="005760D1">
              <w:rPr>
                <w:rFonts w:asciiTheme="majorHAnsi" w:eastAsia="Times New Roman" w:hAnsiTheme="majorHAnsi" w:cs="Arial"/>
                <w:bCs/>
                <w:sz w:val="16"/>
                <w:szCs w:val="16"/>
              </w:rPr>
              <w:t>to new</w:t>
            </w:r>
            <w:r>
              <w:rPr>
                <w:rFonts w:asciiTheme="majorHAnsi" w:eastAsia="Times New Roman" w:hAnsiTheme="majorHAnsi" w:cs="Arial"/>
                <w:bCs/>
                <w:sz w:val="16"/>
                <w:szCs w:val="16"/>
              </w:rPr>
              <w:t>, more attractive</w:t>
            </w:r>
            <w:r w:rsidR="005760D1">
              <w:rPr>
                <w:rFonts w:asciiTheme="majorHAnsi" w:eastAsia="Times New Roman" w:hAnsiTheme="majorHAnsi" w:cs="Arial"/>
                <w:bCs/>
                <w:sz w:val="16"/>
                <w:szCs w:val="16"/>
              </w:rPr>
              <w:t xml:space="preserve"> space </w:t>
            </w:r>
          </w:p>
        </w:tc>
      </w:tr>
      <w:tr w:rsidR="00855D82" w:rsidRPr="004E0EB7" w14:paraId="30E4C194" w14:textId="77777777" w:rsidTr="00DD46D6">
        <w:trPr>
          <w:trHeight w:val="512"/>
        </w:trPr>
        <w:tc>
          <w:tcPr>
            <w:tcW w:w="3060" w:type="dxa"/>
            <w:tcBorders>
              <w:top w:val="single" w:sz="4" w:space="0" w:color="auto"/>
              <w:left w:val="single" w:sz="4" w:space="0" w:color="auto"/>
              <w:right w:val="single" w:sz="4" w:space="0" w:color="auto"/>
            </w:tcBorders>
            <w:shd w:val="clear" w:color="auto" w:fill="auto"/>
            <w:vAlign w:val="center"/>
          </w:tcPr>
          <w:p w14:paraId="3A6D05D7" w14:textId="21C717AD" w:rsidR="00855D82" w:rsidRPr="004B3C6A" w:rsidRDefault="00855D82" w:rsidP="004B3C6A">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Strategic Priority D:  </w:t>
            </w:r>
          </w:p>
          <w:p w14:paraId="4BA41212" w14:textId="0385D7B6" w:rsidR="00855D82" w:rsidRPr="004B3C6A" w:rsidRDefault="00855D82" w:rsidP="004B3C6A">
            <w:pPr>
              <w:spacing w:after="0" w:line="240" w:lineRule="auto"/>
              <w:ind w:left="162" w:right="-18"/>
              <w:rPr>
                <w:rFonts w:ascii="Arial" w:eastAsia="Times New Roman" w:hAnsi="Arial" w:cs="Arial"/>
                <w:bCs/>
                <w:sz w:val="20"/>
                <w:szCs w:val="20"/>
              </w:rPr>
            </w:pPr>
            <w:r w:rsidRPr="004B3C6A">
              <w:rPr>
                <w:rFonts w:asciiTheme="majorHAnsi" w:eastAsia="Times New Roman" w:hAnsiTheme="majorHAnsi" w:cs="Arial"/>
                <w:bCs/>
                <w:sz w:val="16"/>
                <w:szCs w:val="16"/>
              </w:rPr>
              <w:t>Increase Visibility &amp; Recognition of UTHSC Contribution</w:t>
            </w:r>
          </w:p>
        </w:tc>
        <w:tc>
          <w:tcPr>
            <w:tcW w:w="4950" w:type="dxa"/>
            <w:tcBorders>
              <w:top w:val="single" w:sz="4" w:space="0" w:color="auto"/>
              <w:left w:val="single" w:sz="4" w:space="0" w:color="auto"/>
              <w:right w:val="single" w:sz="4" w:space="0" w:color="auto"/>
            </w:tcBorders>
            <w:shd w:val="clear" w:color="auto" w:fill="auto"/>
            <w:vAlign w:val="center"/>
          </w:tcPr>
          <w:p w14:paraId="17827ED6" w14:textId="5DC5DE63" w:rsidR="00855D82" w:rsidRPr="00A1277E" w:rsidRDefault="00E42D8B" w:rsidP="004B3C6A">
            <w:p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Identify Opportunities for College Based Resource Generation</w:t>
            </w:r>
          </w:p>
        </w:tc>
        <w:tc>
          <w:tcPr>
            <w:tcW w:w="4950" w:type="dxa"/>
            <w:tcBorders>
              <w:top w:val="single" w:sz="4" w:space="0" w:color="auto"/>
              <w:left w:val="single" w:sz="4" w:space="0" w:color="auto"/>
              <w:right w:val="single" w:sz="4" w:space="0" w:color="000000"/>
            </w:tcBorders>
            <w:shd w:val="clear" w:color="auto" w:fill="auto"/>
            <w:vAlign w:val="center"/>
          </w:tcPr>
          <w:p w14:paraId="7056115B" w14:textId="0A48A158" w:rsidR="00855D82" w:rsidRPr="00E42D8B" w:rsidRDefault="00E42D8B" w:rsidP="00E42D8B">
            <w:pPr>
              <w:pStyle w:val="ListParagraph"/>
              <w:numPr>
                <w:ilvl w:val="0"/>
                <w:numId w:val="8"/>
              </w:num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Departments are being encouraged to explore opportunities to increase revenue.</w:t>
            </w:r>
          </w:p>
        </w:tc>
      </w:tr>
      <w:tr w:rsidR="00E7268F" w:rsidRPr="004E0EB7" w14:paraId="3A3D057F" w14:textId="77777777" w:rsidTr="00855D82">
        <w:trPr>
          <w:trHeight w:val="43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075570B" w14:textId="77777777" w:rsidR="00E7268F" w:rsidRPr="004B3C6A" w:rsidRDefault="00E7268F" w:rsidP="004B3C6A">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Strategic Priority E:  </w:t>
            </w:r>
          </w:p>
          <w:p w14:paraId="58A9CF40" w14:textId="20990ABA" w:rsidR="00E7268F" w:rsidRPr="004B3C6A" w:rsidRDefault="00E7268F" w:rsidP="00E7268F">
            <w:pPr>
              <w:spacing w:after="0" w:line="240" w:lineRule="auto"/>
              <w:ind w:left="162"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Align UTHSC Resources with Areas of Excellence</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580A465" w14:textId="60E03E03" w:rsidR="00E7268F" w:rsidRPr="00A1277E" w:rsidRDefault="00425A06" w:rsidP="004B3C6A">
            <w:p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Health Informatics Partnerships Across Campus</w:t>
            </w:r>
          </w:p>
        </w:tc>
        <w:tc>
          <w:tcPr>
            <w:tcW w:w="4950" w:type="dxa"/>
            <w:tcBorders>
              <w:top w:val="single" w:sz="4" w:space="0" w:color="auto"/>
              <w:left w:val="single" w:sz="4" w:space="0" w:color="auto"/>
              <w:bottom w:val="single" w:sz="4" w:space="0" w:color="auto"/>
              <w:right w:val="single" w:sz="4" w:space="0" w:color="000000"/>
            </w:tcBorders>
            <w:shd w:val="clear" w:color="auto" w:fill="auto"/>
            <w:vAlign w:val="center"/>
          </w:tcPr>
          <w:p w14:paraId="424BBD8E" w14:textId="77777777" w:rsidR="00E7268F" w:rsidRDefault="00425A06" w:rsidP="00425A06">
            <w:pPr>
              <w:pStyle w:val="ListParagraph"/>
              <w:numPr>
                <w:ilvl w:val="0"/>
                <w:numId w:val="8"/>
              </w:num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PharmD/MHIIM Program begun</w:t>
            </w:r>
          </w:p>
          <w:p w14:paraId="02FC22AE" w14:textId="60AF7891" w:rsidR="00425A06" w:rsidRDefault="00425A06" w:rsidP="00425A06">
            <w:pPr>
              <w:pStyle w:val="ListParagraph"/>
              <w:numPr>
                <w:ilvl w:val="0"/>
                <w:numId w:val="8"/>
              </w:num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Doctoral HIIM track in HOPR begun</w:t>
            </w:r>
          </w:p>
          <w:p w14:paraId="332F5783" w14:textId="18AA84A5" w:rsidR="00425A06" w:rsidRPr="00425A06" w:rsidRDefault="00425A06" w:rsidP="00425A06">
            <w:pPr>
              <w:pStyle w:val="ListParagraph"/>
              <w:numPr>
                <w:ilvl w:val="0"/>
                <w:numId w:val="8"/>
              </w:num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CORNET Award to HIIM faculty member in collaboration with COM</w:t>
            </w:r>
          </w:p>
        </w:tc>
      </w:tr>
      <w:tr w:rsidR="00E7268F" w:rsidRPr="004E0EB7" w14:paraId="6B69154A" w14:textId="77777777" w:rsidTr="00855D82">
        <w:trPr>
          <w:trHeight w:val="43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22D70D1" w14:textId="1DCB0DF5" w:rsidR="00E7268F" w:rsidRPr="004B3C6A" w:rsidRDefault="00E7268F" w:rsidP="00E7268F">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Strategic Priority F:  </w:t>
            </w:r>
          </w:p>
          <w:p w14:paraId="3EE716CF" w14:textId="044DE1B0" w:rsidR="00E7268F" w:rsidRPr="004B3C6A" w:rsidRDefault="00E7268F" w:rsidP="00E7268F">
            <w:pPr>
              <w:spacing w:after="0" w:line="240" w:lineRule="auto"/>
              <w:ind w:left="162"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Expand &amp; Strengthen Key Community &amp; Other Partnerships</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262E6EE" w14:textId="2CEE6167" w:rsidR="00E7268F" w:rsidRPr="00A1277E" w:rsidRDefault="00D70C62" w:rsidP="004B3C6A">
            <w:p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Establish college advisory board</w:t>
            </w:r>
          </w:p>
        </w:tc>
        <w:tc>
          <w:tcPr>
            <w:tcW w:w="4950" w:type="dxa"/>
            <w:tcBorders>
              <w:top w:val="single" w:sz="4" w:space="0" w:color="auto"/>
              <w:left w:val="single" w:sz="4" w:space="0" w:color="auto"/>
              <w:bottom w:val="single" w:sz="4" w:space="0" w:color="auto"/>
              <w:right w:val="single" w:sz="4" w:space="0" w:color="000000"/>
            </w:tcBorders>
            <w:shd w:val="clear" w:color="auto" w:fill="auto"/>
            <w:vAlign w:val="center"/>
          </w:tcPr>
          <w:p w14:paraId="6742093B" w14:textId="1191B310" w:rsidR="00E7268F" w:rsidRPr="00A1277E" w:rsidRDefault="00D70C62" w:rsidP="00A1277E">
            <w:pPr>
              <w:spacing w:after="0" w:line="240" w:lineRule="auto"/>
              <w:ind w:left="-18"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Deans Leadership Council established by inviting a rich array of leaders from healthcare and non-healthcare settings to suggest partnerships and initiatives in academic, research, development and outreach that will be impactful and innovated.</w:t>
            </w:r>
          </w:p>
        </w:tc>
      </w:tr>
      <w:tr w:rsidR="00855D82" w:rsidRPr="004E0EB7" w14:paraId="0936554E" w14:textId="77777777" w:rsidTr="00855D82">
        <w:trPr>
          <w:trHeight w:val="872"/>
        </w:trPr>
        <w:tc>
          <w:tcPr>
            <w:tcW w:w="3060" w:type="dxa"/>
            <w:tcBorders>
              <w:top w:val="single" w:sz="4" w:space="0" w:color="auto"/>
              <w:left w:val="single" w:sz="4" w:space="0" w:color="auto"/>
              <w:right w:val="single" w:sz="4" w:space="0" w:color="auto"/>
            </w:tcBorders>
            <w:shd w:val="clear" w:color="auto" w:fill="auto"/>
            <w:vAlign w:val="center"/>
          </w:tcPr>
          <w:p w14:paraId="052C7B21" w14:textId="77777777" w:rsidR="00855D82" w:rsidRPr="004B3C6A" w:rsidRDefault="00855D82" w:rsidP="00E7268F">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Cross Cutting Priority 6:  </w:t>
            </w:r>
          </w:p>
          <w:p w14:paraId="7694C13C" w14:textId="167C6673" w:rsidR="00855D82" w:rsidRPr="00E7268F" w:rsidRDefault="00855D82" w:rsidP="00E7268F">
            <w:pPr>
              <w:spacing w:after="0" w:line="240" w:lineRule="auto"/>
              <w:ind w:left="162" w:right="-18"/>
              <w:rPr>
                <w:rFonts w:ascii="Arial" w:eastAsia="Times New Roman" w:hAnsi="Arial" w:cs="Arial"/>
                <w:bCs/>
                <w:sz w:val="20"/>
                <w:szCs w:val="20"/>
              </w:rPr>
            </w:pPr>
            <w:r w:rsidRPr="004B3C6A">
              <w:rPr>
                <w:rFonts w:asciiTheme="majorHAnsi" w:eastAsia="Times New Roman" w:hAnsiTheme="majorHAnsi" w:cs="Arial"/>
                <w:bCs/>
                <w:sz w:val="16"/>
                <w:szCs w:val="16"/>
              </w:rPr>
              <w:t>Recruit &amp; Retain Faculty, Staff &amp; Students Through Development, Support &amp; Mentorship</w:t>
            </w:r>
          </w:p>
        </w:tc>
        <w:tc>
          <w:tcPr>
            <w:tcW w:w="4950" w:type="dxa"/>
            <w:tcBorders>
              <w:top w:val="single" w:sz="4" w:space="0" w:color="auto"/>
              <w:left w:val="single" w:sz="4" w:space="0" w:color="auto"/>
              <w:right w:val="single" w:sz="4" w:space="0" w:color="auto"/>
            </w:tcBorders>
            <w:shd w:val="clear" w:color="auto" w:fill="auto"/>
            <w:vAlign w:val="center"/>
          </w:tcPr>
          <w:p w14:paraId="3A5304D4" w14:textId="77777777" w:rsidR="00855D82" w:rsidRDefault="009B7810" w:rsidP="004B3C6A">
            <w:p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Develop a forward-thinking team of mission-balanced academicians.  Four goals were developed by the COHP Strategic Planning Committee for this priority.  One of the goals was selected as the priority for the sub-group.  This goal is to provide</w:t>
            </w:r>
            <w:r w:rsidR="0038032A">
              <w:rPr>
                <w:rFonts w:asciiTheme="majorHAnsi" w:eastAsia="Times New Roman" w:hAnsiTheme="majorHAnsi" w:cs="Arial"/>
                <w:bCs/>
                <w:sz w:val="16"/>
                <w:szCs w:val="16"/>
              </w:rPr>
              <w:t xml:space="preserve"> comprehensive faculty development and mentoring.</w:t>
            </w:r>
          </w:p>
          <w:p w14:paraId="1DED0838" w14:textId="77777777" w:rsidR="00314837" w:rsidRDefault="00314837" w:rsidP="004B3C6A">
            <w:pPr>
              <w:spacing w:after="0" w:line="240" w:lineRule="auto"/>
              <w:ind w:right="-18"/>
              <w:rPr>
                <w:rFonts w:asciiTheme="majorHAnsi" w:eastAsia="Times New Roman" w:hAnsiTheme="majorHAnsi" w:cs="Arial"/>
                <w:bCs/>
                <w:sz w:val="16"/>
                <w:szCs w:val="16"/>
              </w:rPr>
            </w:pPr>
          </w:p>
          <w:p w14:paraId="43C611B5" w14:textId="0BFE3BD6" w:rsidR="00314837" w:rsidRPr="00A1277E" w:rsidRDefault="00995B55" w:rsidP="00995B55">
            <w:p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 xml:space="preserve">Staff Development </w:t>
            </w:r>
          </w:p>
        </w:tc>
        <w:tc>
          <w:tcPr>
            <w:tcW w:w="4950" w:type="dxa"/>
            <w:tcBorders>
              <w:top w:val="single" w:sz="4" w:space="0" w:color="auto"/>
              <w:left w:val="single" w:sz="4" w:space="0" w:color="auto"/>
              <w:right w:val="single" w:sz="4" w:space="0" w:color="000000"/>
            </w:tcBorders>
            <w:shd w:val="clear" w:color="auto" w:fill="auto"/>
            <w:vAlign w:val="center"/>
          </w:tcPr>
          <w:p w14:paraId="66AD5FFD" w14:textId="77777777" w:rsidR="00855D82" w:rsidRDefault="00A456B5" w:rsidP="00A1277E">
            <w:pPr>
              <w:spacing w:after="0" w:line="240" w:lineRule="auto"/>
              <w:ind w:left="-18"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The committee has explored peer evaluations for teaching.  The ASP program uses a tool from UTK.  The group has discussed the need for a formal faculty mentoring program.  Next steps are to explore options for training of mentors and release time.</w:t>
            </w:r>
          </w:p>
          <w:p w14:paraId="24484ADF" w14:textId="77777777" w:rsidR="00A456B5" w:rsidRDefault="00A456B5" w:rsidP="00A1277E">
            <w:pPr>
              <w:spacing w:after="0" w:line="240" w:lineRule="auto"/>
              <w:ind w:left="-18" w:right="-18"/>
              <w:jc w:val="both"/>
              <w:rPr>
                <w:rFonts w:asciiTheme="majorHAnsi" w:eastAsia="Times New Roman" w:hAnsiTheme="majorHAnsi" w:cs="Arial"/>
                <w:bCs/>
                <w:sz w:val="16"/>
                <w:szCs w:val="16"/>
              </w:rPr>
            </w:pPr>
          </w:p>
          <w:p w14:paraId="046D1E50" w14:textId="621441DF" w:rsidR="00A456B5" w:rsidRDefault="00A456B5" w:rsidP="00A1277E">
            <w:pPr>
              <w:spacing w:after="0" w:line="240" w:lineRule="auto"/>
              <w:ind w:left="-18"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College Blackboard site Faculty Resources for the COHP was created that houses information for faculty.  This site includes links to P&amp;T information, external links about teaching, faculty orientation information, teaching resources, research resources, simulation resources, and an archive of the 20-minute mentor series.  This site is used to communicate about internal and external faculty development opportunities.</w:t>
            </w:r>
          </w:p>
          <w:p w14:paraId="3E2FEBD1" w14:textId="77777777" w:rsidR="00A456B5" w:rsidRDefault="00A456B5" w:rsidP="00A1277E">
            <w:pPr>
              <w:spacing w:after="0" w:line="240" w:lineRule="auto"/>
              <w:ind w:left="-18" w:right="-18"/>
              <w:jc w:val="both"/>
              <w:rPr>
                <w:rFonts w:asciiTheme="majorHAnsi" w:eastAsia="Times New Roman" w:hAnsiTheme="majorHAnsi" w:cs="Arial"/>
                <w:bCs/>
                <w:sz w:val="16"/>
                <w:szCs w:val="16"/>
              </w:rPr>
            </w:pPr>
          </w:p>
          <w:p w14:paraId="4F7688AB" w14:textId="77777777" w:rsidR="00A456B5" w:rsidRDefault="00A456B5" w:rsidP="00A1277E">
            <w:pPr>
              <w:spacing w:after="0" w:line="240" w:lineRule="auto"/>
              <w:ind w:left="-18"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 xml:space="preserve">The COHP also hosted several lunchtime lectures on faculty development </w:t>
            </w:r>
            <w:r>
              <w:rPr>
                <w:rFonts w:asciiTheme="majorHAnsi" w:eastAsia="Times New Roman" w:hAnsiTheme="majorHAnsi" w:cs="Arial"/>
                <w:bCs/>
                <w:sz w:val="16"/>
                <w:szCs w:val="16"/>
              </w:rPr>
              <w:lastRenderedPageBreak/>
              <w:t>topics.  This series included</w:t>
            </w:r>
          </w:p>
          <w:p w14:paraId="1165D680" w14:textId="77777777" w:rsidR="00A456B5" w:rsidRDefault="00A456B5" w:rsidP="00A456B5">
            <w:pPr>
              <w:pStyle w:val="ListParagraph"/>
              <w:numPr>
                <w:ilvl w:val="0"/>
                <w:numId w:val="8"/>
              </w:num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IDT session with Kristy Conger</w:t>
            </w:r>
          </w:p>
          <w:p w14:paraId="30BC850E" w14:textId="77777777" w:rsidR="00A456B5" w:rsidRDefault="00A456B5" w:rsidP="00A456B5">
            <w:pPr>
              <w:pStyle w:val="ListParagraph"/>
              <w:numPr>
                <w:ilvl w:val="0"/>
                <w:numId w:val="8"/>
              </w:num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SASSI update on accommodations</w:t>
            </w:r>
          </w:p>
          <w:p w14:paraId="557A845D" w14:textId="77777777" w:rsidR="00A456B5" w:rsidRDefault="00A456B5" w:rsidP="00A456B5">
            <w:pPr>
              <w:pStyle w:val="ListParagraph"/>
              <w:numPr>
                <w:ilvl w:val="0"/>
                <w:numId w:val="8"/>
              </w:num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Linda Ross Overview of developing learning objectives</w:t>
            </w:r>
          </w:p>
          <w:p w14:paraId="7A641468" w14:textId="77777777" w:rsidR="00A456B5" w:rsidRDefault="00A456B5" w:rsidP="00A456B5">
            <w:pPr>
              <w:pStyle w:val="ListParagraph"/>
              <w:numPr>
                <w:ilvl w:val="0"/>
                <w:numId w:val="8"/>
              </w:num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Jacque Bradford Using Google Apps in the classroom</w:t>
            </w:r>
          </w:p>
          <w:p w14:paraId="10471B00" w14:textId="0DC8C5D1" w:rsidR="00A456B5" w:rsidRDefault="00A456B5" w:rsidP="00A456B5">
            <w:pPr>
              <w:pStyle w:val="ListParagraph"/>
              <w:numPr>
                <w:ilvl w:val="0"/>
                <w:numId w:val="8"/>
              </w:num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Tricia Satkowski Budgeting:  Academic &amp; Grants</w:t>
            </w:r>
          </w:p>
          <w:p w14:paraId="6A598E02" w14:textId="4FAD77B9" w:rsidR="00A456B5" w:rsidRDefault="00A456B5" w:rsidP="00A456B5">
            <w:p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The COHP hosted a two-day workshop on Item Writing presented by Dr. Kathy Doig.  Twenty-two faculty attended this workshop.  The campus is having her return for a campus-wide session.</w:t>
            </w:r>
          </w:p>
          <w:p w14:paraId="464FC4CB" w14:textId="77777777" w:rsidR="00D20389" w:rsidRDefault="00D20389" w:rsidP="00A456B5">
            <w:pPr>
              <w:spacing w:after="0" w:line="240" w:lineRule="auto"/>
              <w:ind w:right="-18"/>
              <w:jc w:val="both"/>
              <w:rPr>
                <w:rFonts w:asciiTheme="majorHAnsi" w:eastAsia="Times New Roman" w:hAnsiTheme="majorHAnsi" w:cs="Arial"/>
                <w:bCs/>
                <w:sz w:val="16"/>
                <w:szCs w:val="16"/>
              </w:rPr>
            </w:pPr>
          </w:p>
          <w:p w14:paraId="530BEF1E" w14:textId="15BED7B1" w:rsidR="00C27F31" w:rsidRDefault="00C27F31" w:rsidP="00A456B5">
            <w:p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The Assistant Dean of Research hosted several sessions related to research and faculty development.  The recordings of these sessions are archived on our site.  These sessions include Dr. Steve Goodman, Dr. Jillian McCarthy, and Dr. Bob Davis.</w:t>
            </w:r>
          </w:p>
          <w:p w14:paraId="556554A0" w14:textId="77777777" w:rsidR="00C27F31" w:rsidRDefault="00C27F31" w:rsidP="00A456B5">
            <w:pPr>
              <w:spacing w:after="0" w:line="240" w:lineRule="auto"/>
              <w:ind w:right="-18"/>
              <w:jc w:val="both"/>
              <w:rPr>
                <w:rFonts w:asciiTheme="majorHAnsi" w:eastAsia="Times New Roman" w:hAnsiTheme="majorHAnsi" w:cs="Arial"/>
                <w:bCs/>
                <w:sz w:val="16"/>
                <w:szCs w:val="16"/>
              </w:rPr>
            </w:pPr>
          </w:p>
          <w:p w14:paraId="780F9CB6" w14:textId="77777777" w:rsidR="006F5735" w:rsidRDefault="00C27F31" w:rsidP="006F5735">
            <w:p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The Assistant Dean for Academic and Faculty Affairs attended faculty meetings in OT, PT and</w:t>
            </w:r>
            <w:r w:rsidR="006F5735">
              <w:rPr>
                <w:rFonts w:asciiTheme="majorHAnsi" w:eastAsia="Times New Roman" w:hAnsiTheme="majorHAnsi" w:cs="Arial"/>
                <w:bCs/>
                <w:sz w:val="16"/>
                <w:szCs w:val="16"/>
              </w:rPr>
              <w:t xml:space="preserve"> PAS to review the P&amp;T process.</w:t>
            </w:r>
          </w:p>
          <w:p w14:paraId="2312F3F3" w14:textId="77777777" w:rsidR="006F5735" w:rsidRDefault="006F5735" w:rsidP="006F5735">
            <w:pPr>
              <w:spacing w:after="0" w:line="240" w:lineRule="auto"/>
              <w:ind w:right="-18"/>
              <w:jc w:val="both"/>
              <w:rPr>
                <w:rFonts w:asciiTheme="majorHAnsi" w:eastAsia="Times New Roman" w:hAnsiTheme="majorHAnsi" w:cs="Arial"/>
                <w:bCs/>
                <w:sz w:val="16"/>
                <w:szCs w:val="16"/>
              </w:rPr>
            </w:pPr>
          </w:p>
          <w:p w14:paraId="29257A42" w14:textId="77777777" w:rsidR="006F5735" w:rsidRDefault="00C27F31" w:rsidP="006F5735">
            <w:pPr>
              <w:spacing w:after="0" w:line="240" w:lineRule="auto"/>
              <w:ind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The workgroup is planning an end-of-year celebration for all faculty in May 2016.</w:t>
            </w:r>
            <w:r w:rsidR="006F5735">
              <w:rPr>
                <w:rFonts w:asciiTheme="majorHAnsi" w:eastAsia="Times New Roman" w:hAnsiTheme="majorHAnsi" w:cs="Arial"/>
                <w:bCs/>
                <w:sz w:val="16"/>
                <w:szCs w:val="16"/>
              </w:rPr>
              <w:t xml:space="preserve">  </w:t>
            </w:r>
          </w:p>
          <w:p w14:paraId="5182DC07" w14:textId="77777777" w:rsidR="006F5735" w:rsidRDefault="006F5735" w:rsidP="006F5735">
            <w:pPr>
              <w:spacing w:after="0" w:line="240" w:lineRule="auto"/>
              <w:ind w:right="-18"/>
              <w:jc w:val="both"/>
              <w:rPr>
                <w:rFonts w:asciiTheme="majorHAnsi" w:eastAsia="Times New Roman" w:hAnsiTheme="majorHAnsi" w:cs="Arial"/>
                <w:bCs/>
                <w:sz w:val="16"/>
                <w:szCs w:val="16"/>
              </w:rPr>
            </w:pPr>
          </w:p>
          <w:p w14:paraId="6A6096C2" w14:textId="1DD00CAC" w:rsidR="006F5735" w:rsidRDefault="006F5735" w:rsidP="006F5735">
            <w:pPr>
              <w:spacing w:after="0" w:line="240" w:lineRule="auto"/>
              <w:ind w:right="-18"/>
              <w:jc w:val="both"/>
              <w:rPr>
                <w:rFonts w:asciiTheme="majorHAnsi" w:eastAsia="Times New Roman" w:hAnsiTheme="majorHAnsi" w:cs="Arial"/>
                <w:bCs/>
                <w:sz w:val="16"/>
                <w:szCs w:val="16"/>
              </w:rPr>
            </w:pPr>
            <w:r w:rsidRPr="00A35AE3">
              <w:rPr>
                <w:rFonts w:asciiTheme="majorHAnsi" w:eastAsia="Times New Roman" w:hAnsiTheme="majorHAnsi" w:cs="Arial"/>
                <w:bCs/>
                <w:sz w:val="16"/>
                <w:szCs w:val="16"/>
              </w:rPr>
              <w:t>Staff Council was formed in July 2015</w:t>
            </w:r>
            <w:r>
              <w:rPr>
                <w:rFonts w:asciiTheme="majorHAnsi" w:eastAsia="Times New Roman" w:hAnsiTheme="majorHAnsi" w:cs="Arial"/>
                <w:bCs/>
                <w:sz w:val="16"/>
                <w:szCs w:val="16"/>
              </w:rPr>
              <w:t xml:space="preserve">.  Training and development for staff each month was planned </w:t>
            </w:r>
            <w:r w:rsidRPr="00A35AE3">
              <w:rPr>
                <w:rFonts w:asciiTheme="majorHAnsi" w:eastAsia="Times New Roman" w:hAnsiTheme="majorHAnsi" w:cs="Arial"/>
                <w:bCs/>
                <w:sz w:val="16"/>
                <w:szCs w:val="16"/>
              </w:rPr>
              <w:t xml:space="preserve">by </w:t>
            </w:r>
            <w:r>
              <w:rPr>
                <w:rFonts w:asciiTheme="majorHAnsi" w:eastAsia="Times New Roman" w:hAnsiTheme="majorHAnsi" w:cs="Arial"/>
                <w:bCs/>
                <w:sz w:val="16"/>
                <w:szCs w:val="16"/>
              </w:rPr>
              <w:t>Staff Council.</w:t>
            </w:r>
            <w:r w:rsidRPr="00A35AE3">
              <w:rPr>
                <w:rFonts w:asciiTheme="majorHAnsi" w:eastAsia="Times New Roman" w:hAnsiTheme="majorHAnsi" w:cs="Arial"/>
                <w:bCs/>
                <w:sz w:val="16"/>
                <w:szCs w:val="16"/>
              </w:rPr>
              <w:t xml:space="preserve"> </w:t>
            </w:r>
          </w:p>
          <w:p w14:paraId="3448E76D" w14:textId="09B7C72C" w:rsidR="00C27F31" w:rsidRDefault="00C27F31" w:rsidP="00A456B5">
            <w:pPr>
              <w:spacing w:after="0" w:line="240" w:lineRule="auto"/>
              <w:ind w:right="-18"/>
              <w:jc w:val="both"/>
              <w:rPr>
                <w:rFonts w:asciiTheme="majorHAnsi" w:eastAsia="Times New Roman" w:hAnsiTheme="majorHAnsi" w:cs="Arial"/>
                <w:bCs/>
                <w:sz w:val="16"/>
                <w:szCs w:val="16"/>
              </w:rPr>
            </w:pPr>
          </w:p>
          <w:p w14:paraId="0BE128BE" w14:textId="77777777" w:rsidR="00C27F31" w:rsidRPr="00A456B5" w:rsidRDefault="00C27F31" w:rsidP="00A456B5">
            <w:pPr>
              <w:spacing w:after="0" w:line="240" w:lineRule="auto"/>
              <w:ind w:right="-18"/>
              <w:jc w:val="both"/>
              <w:rPr>
                <w:rFonts w:asciiTheme="majorHAnsi" w:eastAsia="Times New Roman" w:hAnsiTheme="majorHAnsi" w:cs="Arial"/>
                <w:bCs/>
                <w:sz w:val="16"/>
                <w:szCs w:val="16"/>
              </w:rPr>
            </w:pPr>
          </w:p>
          <w:p w14:paraId="20A230C9" w14:textId="34B38977" w:rsidR="00A456B5" w:rsidRPr="00A1277E" w:rsidRDefault="00A456B5" w:rsidP="00A1277E">
            <w:pPr>
              <w:spacing w:after="0" w:line="240" w:lineRule="auto"/>
              <w:ind w:left="-18" w:right="-18"/>
              <w:jc w:val="both"/>
              <w:rPr>
                <w:rFonts w:asciiTheme="majorHAnsi" w:eastAsia="Times New Roman" w:hAnsiTheme="majorHAnsi" w:cs="Arial"/>
                <w:bCs/>
                <w:sz w:val="16"/>
                <w:szCs w:val="16"/>
              </w:rPr>
            </w:pPr>
          </w:p>
        </w:tc>
      </w:tr>
      <w:tr w:rsidR="00E7268F" w:rsidRPr="004E0EB7" w14:paraId="22D07B97" w14:textId="77777777" w:rsidTr="00E7268F">
        <w:trPr>
          <w:trHeight w:val="431"/>
        </w:trPr>
        <w:tc>
          <w:tcPr>
            <w:tcW w:w="3060" w:type="dxa"/>
            <w:tcBorders>
              <w:top w:val="single" w:sz="4" w:space="0" w:color="auto"/>
              <w:left w:val="single" w:sz="4" w:space="0" w:color="auto"/>
              <w:right w:val="single" w:sz="4" w:space="0" w:color="auto"/>
            </w:tcBorders>
            <w:shd w:val="clear" w:color="auto" w:fill="auto"/>
            <w:vAlign w:val="center"/>
          </w:tcPr>
          <w:p w14:paraId="019AFF12" w14:textId="58CFBB15" w:rsidR="00E7268F" w:rsidRPr="004B3C6A" w:rsidRDefault="00E7268F" w:rsidP="004B3C6A">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lastRenderedPageBreak/>
              <w:t xml:space="preserve">Cross Cutting Priority 7:  </w:t>
            </w:r>
          </w:p>
          <w:p w14:paraId="211B8BA9" w14:textId="32380A97" w:rsidR="00E7268F" w:rsidRPr="004B3C6A" w:rsidRDefault="00E7268F" w:rsidP="00E7268F">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Continue to Increase Diversity</w:t>
            </w:r>
          </w:p>
        </w:tc>
        <w:tc>
          <w:tcPr>
            <w:tcW w:w="4950" w:type="dxa"/>
            <w:tcBorders>
              <w:top w:val="single" w:sz="4" w:space="0" w:color="auto"/>
              <w:left w:val="single" w:sz="4" w:space="0" w:color="auto"/>
              <w:right w:val="single" w:sz="4" w:space="0" w:color="auto"/>
            </w:tcBorders>
            <w:shd w:val="clear" w:color="auto" w:fill="auto"/>
            <w:vAlign w:val="center"/>
          </w:tcPr>
          <w:p w14:paraId="38C9A02C" w14:textId="21B83F5D" w:rsidR="00E7268F" w:rsidRPr="00A1277E" w:rsidRDefault="00B26544" w:rsidP="004B3C6A">
            <w:p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Use of Diversity Scholarships for Student Recruitment</w:t>
            </w:r>
          </w:p>
        </w:tc>
        <w:tc>
          <w:tcPr>
            <w:tcW w:w="4950" w:type="dxa"/>
            <w:tcBorders>
              <w:top w:val="single" w:sz="4" w:space="0" w:color="auto"/>
              <w:left w:val="single" w:sz="4" w:space="0" w:color="auto"/>
              <w:right w:val="single" w:sz="4" w:space="0" w:color="000000"/>
            </w:tcBorders>
            <w:shd w:val="clear" w:color="auto" w:fill="auto"/>
            <w:vAlign w:val="center"/>
          </w:tcPr>
          <w:p w14:paraId="2A12804B" w14:textId="1D9C36B6" w:rsidR="00E7268F" w:rsidRPr="00A1277E" w:rsidRDefault="00B26544" w:rsidP="00A1277E">
            <w:pPr>
              <w:spacing w:after="0" w:line="240" w:lineRule="auto"/>
              <w:ind w:left="-18" w:right="-18"/>
              <w:jc w:val="both"/>
              <w:rPr>
                <w:rFonts w:asciiTheme="majorHAnsi" w:eastAsia="Times New Roman" w:hAnsiTheme="majorHAnsi" w:cs="Arial"/>
                <w:bCs/>
                <w:sz w:val="16"/>
                <w:szCs w:val="16"/>
              </w:rPr>
            </w:pPr>
            <w:r>
              <w:rPr>
                <w:rFonts w:asciiTheme="majorHAnsi" w:eastAsia="Times New Roman" w:hAnsiTheme="majorHAnsi" w:cs="Arial"/>
                <w:bCs/>
                <w:sz w:val="16"/>
                <w:szCs w:val="16"/>
              </w:rPr>
              <w:t>% of students in the college who are racially and ethnically diverse has increased by ~5%.</w:t>
            </w:r>
          </w:p>
        </w:tc>
      </w:tr>
      <w:tr w:rsidR="00E7268F" w:rsidRPr="004E0EB7" w14:paraId="2A79177F" w14:textId="77777777" w:rsidTr="00F015E4">
        <w:trPr>
          <w:trHeight w:val="43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C3E5037" w14:textId="77777777" w:rsidR="00E7268F" w:rsidRPr="004B3C6A" w:rsidRDefault="00E7268F" w:rsidP="004B3C6A">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Cross Cutting Priority G: </w:t>
            </w:r>
          </w:p>
          <w:p w14:paraId="34173F9C" w14:textId="7D985915" w:rsidR="00E7268F" w:rsidRPr="004B3C6A" w:rsidRDefault="00E7268F" w:rsidP="004B3C6A">
            <w:pPr>
              <w:spacing w:after="0" w:line="240" w:lineRule="auto"/>
              <w:ind w:left="162"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Increase Strategic Integration Across UTHSC</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AF00D53" w14:textId="0E903F33" w:rsidR="00E7268F" w:rsidRPr="00A1277E" w:rsidRDefault="00E7268F" w:rsidP="004B3C6A">
            <w:pPr>
              <w:spacing w:after="0" w:line="240" w:lineRule="auto"/>
              <w:ind w:right="-18"/>
              <w:rPr>
                <w:rFonts w:asciiTheme="majorHAnsi" w:eastAsia="Times New Roman" w:hAnsiTheme="majorHAnsi" w:cs="Arial"/>
                <w:bCs/>
                <w:sz w:val="16"/>
                <w:szCs w:val="16"/>
              </w:rPr>
            </w:pPr>
          </w:p>
        </w:tc>
        <w:tc>
          <w:tcPr>
            <w:tcW w:w="4950" w:type="dxa"/>
            <w:tcBorders>
              <w:top w:val="single" w:sz="4" w:space="0" w:color="auto"/>
              <w:left w:val="single" w:sz="4" w:space="0" w:color="auto"/>
              <w:bottom w:val="single" w:sz="4" w:space="0" w:color="auto"/>
              <w:right w:val="single" w:sz="4" w:space="0" w:color="000000"/>
            </w:tcBorders>
            <w:shd w:val="clear" w:color="auto" w:fill="auto"/>
            <w:vAlign w:val="center"/>
          </w:tcPr>
          <w:p w14:paraId="663C1832" w14:textId="66D4D8DB" w:rsidR="00E7268F" w:rsidRPr="00A1277E" w:rsidRDefault="00E7268F" w:rsidP="00A1277E">
            <w:pPr>
              <w:pStyle w:val="ListParagraph"/>
              <w:spacing w:after="0" w:line="240" w:lineRule="auto"/>
              <w:ind w:left="-18" w:right="-18"/>
              <w:jc w:val="both"/>
              <w:rPr>
                <w:rFonts w:asciiTheme="majorHAnsi" w:eastAsia="Times New Roman" w:hAnsiTheme="majorHAnsi" w:cs="Arial"/>
                <w:bCs/>
                <w:sz w:val="16"/>
                <w:szCs w:val="16"/>
              </w:rPr>
            </w:pPr>
          </w:p>
        </w:tc>
      </w:tr>
      <w:tr w:rsidR="00A1277E" w:rsidRPr="004E0EB7" w14:paraId="2234A086" w14:textId="77777777" w:rsidTr="00F015E4">
        <w:trPr>
          <w:trHeight w:val="1214"/>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13D21BF" w14:textId="77777777" w:rsidR="00A1277E" w:rsidRPr="004B3C6A" w:rsidRDefault="00A1277E" w:rsidP="004B3C6A">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Cross Cutting Priority H:  </w:t>
            </w:r>
          </w:p>
          <w:p w14:paraId="19D48A8D" w14:textId="31448EBA" w:rsidR="00A1277E" w:rsidRPr="004B3C6A" w:rsidRDefault="00A1277E" w:rsidP="004B3C6A">
            <w:pPr>
              <w:spacing w:after="0" w:line="240" w:lineRule="auto"/>
              <w:ind w:left="162"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Strengthen Organizational Effectiveness &amp; Adaptability Through a Focus on a Culture of Excellence Across the Institution Including Staff, Faculty &amp; Administration</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74B1252" w14:textId="37D10FD0" w:rsidR="00A35AE3" w:rsidRDefault="00A35AE3" w:rsidP="00A35AE3">
            <w:pPr>
              <w:pStyle w:val="ListParagraph"/>
              <w:numPr>
                <w:ilvl w:val="0"/>
                <w:numId w:val="9"/>
              </w:num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Three proposals for staff reorganization were presented for consideration for implementation to have a centralized staffing model/capitalize on best practices in the COHP in FY16.</w:t>
            </w:r>
          </w:p>
          <w:p w14:paraId="09D40DEE" w14:textId="160AC8AE" w:rsidR="00A1277E" w:rsidRPr="00A35AE3" w:rsidRDefault="00A35AE3" w:rsidP="00A35AE3">
            <w:pPr>
              <w:pStyle w:val="ListParagraph"/>
              <w:numPr>
                <w:ilvl w:val="0"/>
                <w:numId w:val="9"/>
              </w:numPr>
              <w:spacing w:after="0" w:line="240" w:lineRule="auto"/>
              <w:ind w:right="-18"/>
              <w:rPr>
                <w:rFonts w:asciiTheme="majorHAnsi" w:eastAsia="Times New Roman" w:hAnsiTheme="majorHAnsi" w:cs="Arial"/>
                <w:bCs/>
                <w:sz w:val="16"/>
                <w:szCs w:val="16"/>
              </w:rPr>
            </w:pPr>
            <w:r w:rsidRPr="00A35AE3">
              <w:rPr>
                <w:rFonts w:asciiTheme="majorHAnsi" w:eastAsia="Times New Roman" w:hAnsiTheme="majorHAnsi" w:cs="Arial"/>
                <w:bCs/>
                <w:sz w:val="16"/>
                <w:szCs w:val="16"/>
              </w:rPr>
              <w:t>Centralized training was recommended by the strategic planning committee and implemented in FY16.</w:t>
            </w:r>
          </w:p>
        </w:tc>
        <w:tc>
          <w:tcPr>
            <w:tcW w:w="4950" w:type="dxa"/>
            <w:tcBorders>
              <w:top w:val="single" w:sz="4" w:space="0" w:color="auto"/>
              <w:left w:val="single" w:sz="4" w:space="0" w:color="auto"/>
              <w:bottom w:val="single" w:sz="4" w:space="0" w:color="auto"/>
              <w:right w:val="single" w:sz="4" w:space="0" w:color="000000"/>
            </w:tcBorders>
            <w:shd w:val="clear" w:color="auto" w:fill="auto"/>
            <w:vAlign w:val="center"/>
          </w:tcPr>
          <w:p w14:paraId="1597660A" w14:textId="77777777" w:rsidR="00A1277E" w:rsidRDefault="00A35AE3" w:rsidP="00A35AE3">
            <w:pPr>
              <w:pStyle w:val="ListParagraph"/>
              <w:numPr>
                <w:ilvl w:val="0"/>
                <w:numId w:val="9"/>
              </w:num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Centralized staffing model adopted by staff &amp; college leadership</w:t>
            </w:r>
          </w:p>
          <w:p w14:paraId="27271A9C" w14:textId="3AB690F1" w:rsidR="00805FA3" w:rsidRPr="00A35AE3" w:rsidRDefault="00805FA3" w:rsidP="00805FA3">
            <w:pPr>
              <w:pStyle w:val="ListParagraph"/>
              <w:numPr>
                <w:ilvl w:val="0"/>
                <w:numId w:val="9"/>
              </w:num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Continuous review with chairs and the Assistant Dean for Finance and Administration in monthly or quarterly meetings to ensure staffing and budgetary needs were being met.</w:t>
            </w:r>
          </w:p>
        </w:tc>
      </w:tr>
    </w:tbl>
    <w:p w14:paraId="4155F66F" w14:textId="6C323E42" w:rsidR="006C4149" w:rsidRDefault="006C4149"/>
    <w:sectPr w:rsidR="006C4149" w:rsidSect="00E7268F">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B6F77" w14:textId="77777777" w:rsidR="005760D1" w:rsidRDefault="005760D1" w:rsidP="00855D82">
      <w:pPr>
        <w:spacing w:after="0" w:line="240" w:lineRule="auto"/>
      </w:pPr>
      <w:r>
        <w:separator/>
      </w:r>
    </w:p>
  </w:endnote>
  <w:endnote w:type="continuationSeparator" w:id="0">
    <w:p w14:paraId="75E3BDCE" w14:textId="77777777" w:rsidR="005760D1" w:rsidRDefault="005760D1" w:rsidP="0085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3653" w14:textId="77777777" w:rsidR="005760D1" w:rsidRDefault="005760D1" w:rsidP="00855D82">
      <w:pPr>
        <w:spacing w:after="0" w:line="240" w:lineRule="auto"/>
      </w:pPr>
      <w:r>
        <w:separator/>
      </w:r>
    </w:p>
  </w:footnote>
  <w:footnote w:type="continuationSeparator" w:id="0">
    <w:p w14:paraId="624A23F7" w14:textId="77777777" w:rsidR="005760D1" w:rsidRDefault="005760D1" w:rsidP="00855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48D"/>
    <w:multiLevelType w:val="hybridMultilevel"/>
    <w:tmpl w:val="A3F697F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AF16A2C"/>
    <w:multiLevelType w:val="hybridMultilevel"/>
    <w:tmpl w:val="2B6E992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11453577"/>
    <w:multiLevelType w:val="hybridMultilevel"/>
    <w:tmpl w:val="9CF28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11A44"/>
    <w:multiLevelType w:val="hybridMultilevel"/>
    <w:tmpl w:val="E2FC6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355A9"/>
    <w:multiLevelType w:val="hybridMultilevel"/>
    <w:tmpl w:val="E5BE2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805D6"/>
    <w:multiLevelType w:val="hybridMultilevel"/>
    <w:tmpl w:val="486474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85DBD"/>
    <w:multiLevelType w:val="hybridMultilevel"/>
    <w:tmpl w:val="BDAC273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41872B60"/>
    <w:multiLevelType w:val="hybridMultilevel"/>
    <w:tmpl w:val="6A1AE5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C25C3"/>
    <w:multiLevelType w:val="hybridMultilevel"/>
    <w:tmpl w:val="60B0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24985"/>
    <w:multiLevelType w:val="hybridMultilevel"/>
    <w:tmpl w:val="4EC0753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66C55173"/>
    <w:multiLevelType w:val="hybridMultilevel"/>
    <w:tmpl w:val="BDF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7"/>
  </w:num>
  <w:num w:numId="6">
    <w:abstractNumId w:val="5"/>
  </w:num>
  <w:num w:numId="7">
    <w:abstractNumId w:val="0"/>
  </w:num>
  <w:num w:numId="8">
    <w:abstractNumId w:val="1"/>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9"/>
    <w:rsid w:val="00003563"/>
    <w:rsid w:val="00064C16"/>
    <w:rsid w:val="00173CC6"/>
    <w:rsid w:val="00192546"/>
    <w:rsid w:val="001E0CBC"/>
    <w:rsid w:val="00285FD4"/>
    <w:rsid w:val="00286B67"/>
    <w:rsid w:val="00314837"/>
    <w:rsid w:val="0038032A"/>
    <w:rsid w:val="003811BB"/>
    <w:rsid w:val="00425A06"/>
    <w:rsid w:val="004B3C6A"/>
    <w:rsid w:val="004D47A1"/>
    <w:rsid w:val="005760D1"/>
    <w:rsid w:val="005A55D9"/>
    <w:rsid w:val="005C277C"/>
    <w:rsid w:val="005D1ADD"/>
    <w:rsid w:val="005E173F"/>
    <w:rsid w:val="00600A02"/>
    <w:rsid w:val="00667022"/>
    <w:rsid w:val="00683FD7"/>
    <w:rsid w:val="006923FB"/>
    <w:rsid w:val="006A7656"/>
    <w:rsid w:val="006B656A"/>
    <w:rsid w:val="006C4149"/>
    <w:rsid w:val="006F5735"/>
    <w:rsid w:val="00746F34"/>
    <w:rsid w:val="007E0584"/>
    <w:rsid w:val="00805FA3"/>
    <w:rsid w:val="00855D82"/>
    <w:rsid w:val="0096504D"/>
    <w:rsid w:val="00981F92"/>
    <w:rsid w:val="00992245"/>
    <w:rsid w:val="00995B55"/>
    <w:rsid w:val="009B666F"/>
    <w:rsid w:val="009B7810"/>
    <w:rsid w:val="00A1277E"/>
    <w:rsid w:val="00A32ED8"/>
    <w:rsid w:val="00A35AE3"/>
    <w:rsid w:val="00A456B5"/>
    <w:rsid w:val="00A813CC"/>
    <w:rsid w:val="00A9579E"/>
    <w:rsid w:val="00B26544"/>
    <w:rsid w:val="00BF769E"/>
    <w:rsid w:val="00C1461F"/>
    <w:rsid w:val="00C27F31"/>
    <w:rsid w:val="00C87F19"/>
    <w:rsid w:val="00CC3668"/>
    <w:rsid w:val="00CF4B7B"/>
    <w:rsid w:val="00D20389"/>
    <w:rsid w:val="00D43950"/>
    <w:rsid w:val="00D70C62"/>
    <w:rsid w:val="00DB4746"/>
    <w:rsid w:val="00DD46D6"/>
    <w:rsid w:val="00E42D8B"/>
    <w:rsid w:val="00E44A00"/>
    <w:rsid w:val="00E60DA4"/>
    <w:rsid w:val="00E7268F"/>
    <w:rsid w:val="00F015E4"/>
    <w:rsid w:val="00FB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259346"/>
  <w14:defaultImageDpi w14:val="300"/>
  <w15:docId w15:val="{A6A789A2-4724-47E7-BA31-661FD830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4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022"/>
    <w:rPr>
      <w:rFonts w:ascii="Lucida Grande" w:hAnsi="Lucida Grande" w:cs="Lucida Grande"/>
      <w:sz w:val="18"/>
      <w:szCs w:val="18"/>
    </w:rPr>
  </w:style>
  <w:style w:type="paragraph" w:styleId="ListParagraph">
    <w:name w:val="List Paragraph"/>
    <w:basedOn w:val="Normal"/>
    <w:uiPriority w:val="34"/>
    <w:qFormat/>
    <w:rsid w:val="00D43950"/>
    <w:pPr>
      <w:ind w:left="720"/>
      <w:contextualSpacing/>
    </w:pPr>
  </w:style>
  <w:style w:type="paragraph" w:styleId="Header">
    <w:name w:val="header"/>
    <w:basedOn w:val="Normal"/>
    <w:link w:val="HeaderChar"/>
    <w:uiPriority w:val="99"/>
    <w:unhideWhenUsed/>
    <w:rsid w:val="00855D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5D82"/>
    <w:rPr>
      <w:rFonts w:ascii="Calibri" w:eastAsia="Calibri" w:hAnsi="Calibri" w:cs="Times New Roman"/>
      <w:sz w:val="22"/>
      <w:szCs w:val="22"/>
    </w:rPr>
  </w:style>
  <w:style w:type="paragraph" w:styleId="Footer">
    <w:name w:val="footer"/>
    <w:basedOn w:val="Normal"/>
    <w:link w:val="FooterChar"/>
    <w:uiPriority w:val="99"/>
    <w:unhideWhenUsed/>
    <w:rsid w:val="00855D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5D8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C1BE-97CF-49EC-9FC0-89FFDD88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GONZALEZ</dc:creator>
  <cp:lastModifiedBy>Occean, Nathalie Eleonide</cp:lastModifiedBy>
  <cp:revision>2</cp:revision>
  <cp:lastPrinted>2016-03-28T21:47:00Z</cp:lastPrinted>
  <dcterms:created xsi:type="dcterms:W3CDTF">2016-05-09T18:50:00Z</dcterms:created>
  <dcterms:modified xsi:type="dcterms:W3CDTF">2016-05-09T18:50:00Z</dcterms:modified>
</cp:coreProperties>
</file>